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079CBE">
      <w:pPr>
        <w:spacing w:line="560" w:lineRule="exact"/>
        <w:rPr>
          <w:rFonts w:ascii="TimesNewRoman" w:hAnsi="TimesNewRoman" w:eastAsia="黑体" w:cs="TimesNewRoman"/>
          <w:szCs w:val="32"/>
        </w:rPr>
      </w:pPr>
      <w:r>
        <w:rPr>
          <w:rFonts w:hint="eastAsia" w:ascii="TimesNewRoman" w:hAnsi="TimesNewRoman" w:eastAsia="黑体" w:cs="TimesNewRoman"/>
          <w:szCs w:val="32"/>
        </w:rPr>
        <w:t>附件1-1</w:t>
      </w:r>
    </w:p>
    <w:p w14:paraId="69044BB7"/>
    <w:p w14:paraId="388D0F7A"/>
    <w:p w14:paraId="59843E27"/>
    <w:p w14:paraId="7FED1172"/>
    <w:p w14:paraId="44B2284E"/>
    <w:p w14:paraId="3F683AB2"/>
    <w:p w14:paraId="4F4419E5"/>
    <w:p w14:paraId="21151DCA"/>
    <w:p w14:paraId="37564FF0">
      <w:pPr>
        <w:spacing w:line="560" w:lineRule="exact"/>
        <w:jc w:val="center"/>
        <w:rPr>
          <w:rFonts w:ascii="TimesNewRoman" w:hAnsi="TimesNewRoman" w:eastAsia="华文中宋" w:cs="TimesNewRoman"/>
          <w:b/>
          <w:sz w:val="44"/>
          <w:szCs w:val="44"/>
        </w:rPr>
      </w:pPr>
      <w:r>
        <w:rPr>
          <w:rFonts w:hint="eastAsia" w:ascii="TimesNewRoman" w:hAnsi="TimesNewRoman" w:eastAsia="华文中宋" w:cs="TimesNewRoman"/>
          <w:b/>
          <w:sz w:val="44"/>
          <w:szCs w:val="44"/>
          <w:lang w:eastAsia="zh-CN"/>
        </w:rPr>
        <w:t>淮北市司法局</w:t>
      </w:r>
      <w:r>
        <w:rPr>
          <w:rFonts w:hint="eastAsia" w:ascii="TimesNewRoman" w:hAnsi="TimesNewRoman" w:eastAsia="华文中宋" w:cs="TimesNewRoman"/>
          <w:b/>
          <w:sz w:val="44"/>
          <w:szCs w:val="44"/>
        </w:rPr>
        <w:t>2025年</w:t>
      </w:r>
    </w:p>
    <w:p w14:paraId="5920122C">
      <w:pPr>
        <w:spacing w:line="560" w:lineRule="exact"/>
        <w:jc w:val="center"/>
        <w:rPr>
          <w:rFonts w:ascii="TimesNewRoman" w:hAnsi="TimesNewRoman" w:eastAsia="华文中宋" w:cs="TimesNewRoman"/>
          <w:b/>
          <w:sz w:val="44"/>
          <w:szCs w:val="44"/>
        </w:rPr>
      </w:pPr>
      <w:r>
        <w:rPr>
          <w:rFonts w:hint="eastAsia" w:ascii="TimesNewRoman" w:hAnsi="TimesNewRoman" w:eastAsia="华文中宋" w:cs="TimesNewRoman"/>
          <w:b/>
          <w:sz w:val="44"/>
          <w:szCs w:val="44"/>
        </w:rPr>
        <w:t>单位预算</w:t>
      </w:r>
    </w:p>
    <w:p w14:paraId="1831A1B1"/>
    <w:p w14:paraId="44194492"/>
    <w:p w14:paraId="24155278"/>
    <w:p w14:paraId="2A33EA9E"/>
    <w:p w14:paraId="5DF671F3"/>
    <w:p w14:paraId="18D1A911"/>
    <w:p w14:paraId="3445864E"/>
    <w:p w14:paraId="1A50C6A2"/>
    <w:p w14:paraId="4AB72FE7"/>
    <w:p w14:paraId="4B92C8E2"/>
    <w:p w14:paraId="5BDD6812"/>
    <w:p w14:paraId="1925CF66"/>
    <w:p w14:paraId="6476B727"/>
    <w:p w14:paraId="6AAD8043"/>
    <w:p w14:paraId="39CA493D"/>
    <w:p w14:paraId="4F90E3B8"/>
    <w:p w14:paraId="139C9F47"/>
    <w:p w14:paraId="1F048F5F"/>
    <w:p w14:paraId="5EF17733"/>
    <w:p w14:paraId="347F0834"/>
    <w:p w14:paraId="22EE9252"/>
    <w:p w14:paraId="782EB03C"/>
    <w:p w14:paraId="5DC4EB46">
      <w:pPr>
        <w:pStyle w:val="7"/>
        <w:adjustRightInd w:val="0"/>
        <w:snapToGrid w:val="0"/>
        <w:spacing w:line="560" w:lineRule="exact"/>
        <w:jc w:val="center"/>
        <w:rPr>
          <w:rFonts w:ascii="TimesNewRoman" w:hAnsi="TimesNewRoman" w:eastAsia="黑体" w:cs="TimesNewRoman"/>
          <w:bCs/>
          <w:sz w:val="44"/>
          <w:szCs w:val="44"/>
        </w:rPr>
      </w:pPr>
    </w:p>
    <w:p w14:paraId="2D0F02C1">
      <w:pPr>
        <w:pStyle w:val="7"/>
        <w:adjustRightInd w:val="0"/>
        <w:snapToGrid w:val="0"/>
        <w:spacing w:line="560" w:lineRule="exact"/>
        <w:jc w:val="center"/>
        <w:rPr>
          <w:rFonts w:ascii="TimesNewRoman" w:hAnsi="TimesNewRoman" w:eastAsia="黑体" w:cs="TimesNewRoman"/>
          <w:bCs/>
          <w:sz w:val="44"/>
          <w:szCs w:val="44"/>
        </w:rPr>
      </w:pPr>
      <w:r>
        <w:rPr>
          <w:rFonts w:hint="eastAsia" w:ascii="TimesNewRoman" w:hAnsi="TimesNewRoman" w:eastAsia="黑体" w:cs="TimesNewRoman"/>
          <w:bCs/>
          <w:sz w:val="44"/>
          <w:szCs w:val="44"/>
        </w:rPr>
        <w:t>2025年</w:t>
      </w:r>
      <w:r>
        <w:rPr>
          <w:rFonts w:hint="eastAsia" w:ascii="TimesNewRoman" w:hAnsi="TimesNewRoman" w:eastAsia="黑体" w:cs="TimesNewRoman"/>
          <w:bCs/>
          <w:sz w:val="44"/>
          <w:szCs w:val="44"/>
          <w:lang w:val="en-US" w:eastAsia="zh-CN"/>
        </w:rPr>
        <w:t>2</w:t>
      </w:r>
      <w:r>
        <w:rPr>
          <w:rFonts w:hint="eastAsia" w:ascii="TimesNewRoman" w:hAnsi="TimesNewRoman" w:eastAsia="黑体" w:cs="TimesNewRoman"/>
          <w:bCs/>
          <w:sz w:val="44"/>
          <w:szCs w:val="44"/>
        </w:rPr>
        <w:t>月</w:t>
      </w:r>
    </w:p>
    <w:p w14:paraId="32802821"/>
    <w:p w14:paraId="4FB5205A"/>
    <w:p w14:paraId="20FEB6C9">
      <w:pPr>
        <w:pStyle w:val="7"/>
        <w:adjustRightInd w:val="0"/>
        <w:snapToGrid w:val="0"/>
        <w:spacing w:line="560" w:lineRule="exact"/>
        <w:jc w:val="center"/>
        <w:rPr>
          <w:rFonts w:ascii="TimesNewRoman" w:hAnsi="TimesNewRoman" w:eastAsia="黑体" w:cs="TimesNewRoman"/>
          <w:bCs/>
          <w:sz w:val="44"/>
          <w:szCs w:val="44"/>
        </w:rPr>
      </w:pPr>
      <w:r>
        <w:rPr>
          <w:rFonts w:hint="eastAsia" w:ascii="TimesNewRoman" w:hAnsi="TimesNewRoman" w:eastAsia="黑体" w:cs="TimesNewRoman"/>
          <w:bCs/>
          <w:sz w:val="44"/>
          <w:szCs w:val="44"/>
        </w:rPr>
        <w:t>目  录</w:t>
      </w:r>
    </w:p>
    <w:p w14:paraId="2644D8D0"/>
    <w:p w14:paraId="4BD0D105">
      <w:pPr>
        <w:pStyle w:val="7"/>
        <w:adjustRightInd w:val="0"/>
        <w:snapToGrid w:val="0"/>
        <w:spacing w:line="400" w:lineRule="exact"/>
        <w:ind w:firstLine="643" w:firstLineChars="200"/>
        <w:rPr>
          <w:rFonts w:ascii="TimesNewRoman" w:hAnsi="TimesNewRoman" w:eastAsia="仿宋_GB2312" w:cs="TimesNewRoman"/>
          <w:b/>
          <w:sz w:val="32"/>
          <w:szCs w:val="32"/>
        </w:rPr>
      </w:pPr>
      <w:r>
        <w:rPr>
          <w:rFonts w:hint="eastAsia" w:ascii="TimesNewRoman" w:hAnsi="TimesNewRoman" w:eastAsia="仿宋_GB2312" w:cs="TimesNewRoman"/>
          <w:b/>
          <w:sz w:val="32"/>
          <w:szCs w:val="32"/>
        </w:rPr>
        <w:t>第一部分</w:t>
      </w:r>
      <w:r>
        <w:rPr>
          <w:rFonts w:hint="eastAsia" w:ascii="TimesNewRoman" w:hAnsi="TimesNewRoman" w:eastAsia="仿宋_GB2312" w:cs="TimesNewRoman"/>
          <w:b/>
          <w:sz w:val="32"/>
          <w:szCs w:val="32"/>
          <w:lang w:val="en-US" w:eastAsia="zh-CN"/>
        </w:rPr>
        <w:t xml:space="preserve"> </w:t>
      </w:r>
      <w:r>
        <w:rPr>
          <w:rFonts w:hint="eastAsia" w:ascii="TimesNewRoman" w:hAnsi="TimesNewRoman" w:eastAsia="仿宋_GB2312" w:cs="TimesNewRoman"/>
          <w:b/>
          <w:sz w:val="32"/>
          <w:szCs w:val="32"/>
        </w:rPr>
        <w:t>单位概况</w:t>
      </w:r>
    </w:p>
    <w:p w14:paraId="7D6F39E8">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1、主要职责</w:t>
      </w:r>
    </w:p>
    <w:p w14:paraId="67FFFE89">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2、单位预算构成</w:t>
      </w:r>
    </w:p>
    <w:p w14:paraId="30FD8054">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3 、2025年度主要工作任务</w:t>
      </w:r>
    </w:p>
    <w:p w14:paraId="50FEDE14">
      <w:pPr>
        <w:pStyle w:val="7"/>
        <w:adjustRightInd w:val="0"/>
        <w:snapToGrid w:val="0"/>
        <w:spacing w:line="400" w:lineRule="exact"/>
        <w:ind w:firstLine="643" w:firstLineChars="200"/>
        <w:rPr>
          <w:rFonts w:ascii="TimesNewRoman" w:hAnsi="TimesNewRoman" w:eastAsia="仿宋_GB2312" w:cs="TimesNewRoman"/>
          <w:b/>
          <w:sz w:val="32"/>
          <w:szCs w:val="32"/>
        </w:rPr>
      </w:pPr>
      <w:r>
        <w:rPr>
          <w:rFonts w:hint="eastAsia" w:ascii="TimesNewRoman" w:hAnsi="TimesNewRoman" w:eastAsia="仿宋_GB2312" w:cs="TimesNewRoman"/>
          <w:b/>
          <w:sz w:val="32"/>
          <w:szCs w:val="32"/>
        </w:rPr>
        <w:t>第二部分 2025年单位预算表</w:t>
      </w:r>
    </w:p>
    <w:p w14:paraId="3F2EA1F5">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1、</w:t>
      </w:r>
      <w:r>
        <w:rPr>
          <w:rFonts w:hint="eastAsia" w:ascii="TimesNewRoman" w:hAnsi="TimesNewRoman" w:eastAsia="仿宋_GB2312" w:cs="TimesNewRoman"/>
          <w:bCs/>
          <w:sz w:val="32"/>
          <w:szCs w:val="32"/>
          <w:lang w:eastAsia="zh-CN"/>
        </w:rPr>
        <w:t>淮北市司法局</w:t>
      </w:r>
      <w:r>
        <w:rPr>
          <w:rFonts w:hint="eastAsia" w:ascii="TimesNewRoman" w:hAnsi="TimesNewRoman" w:eastAsia="仿宋_GB2312" w:cs="TimesNewRoman"/>
          <w:bCs/>
          <w:sz w:val="32"/>
          <w:szCs w:val="32"/>
        </w:rPr>
        <w:t>2025年收支总表</w:t>
      </w:r>
    </w:p>
    <w:p w14:paraId="19D6A1E1">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2、</w:t>
      </w:r>
      <w:r>
        <w:rPr>
          <w:rFonts w:hint="eastAsia" w:ascii="TimesNewRoman" w:hAnsi="TimesNewRoman" w:eastAsia="仿宋_GB2312" w:cs="TimesNewRoman"/>
          <w:bCs/>
          <w:sz w:val="32"/>
          <w:szCs w:val="32"/>
          <w:lang w:eastAsia="zh-CN"/>
        </w:rPr>
        <w:t>淮北市司法局</w:t>
      </w:r>
      <w:r>
        <w:rPr>
          <w:rFonts w:hint="eastAsia" w:ascii="TimesNewRoman" w:hAnsi="TimesNewRoman" w:eastAsia="仿宋_GB2312" w:cs="TimesNewRoman"/>
          <w:bCs/>
          <w:sz w:val="32"/>
          <w:szCs w:val="32"/>
        </w:rPr>
        <w:t>2025年收入总表</w:t>
      </w:r>
    </w:p>
    <w:p w14:paraId="7382885D">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3、</w:t>
      </w:r>
      <w:r>
        <w:rPr>
          <w:rFonts w:hint="eastAsia" w:ascii="TimesNewRoman" w:hAnsi="TimesNewRoman" w:eastAsia="仿宋_GB2312" w:cs="TimesNewRoman"/>
          <w:bCs/>
          <w:sz w:val="32"/>
          <w:szCs w:val="32"/>
          <w:lang w:eastAsia="zh-CN"/>
        </w:rPr>
        <w:t>淮北市司法局</w:t>
      </w:r>
      <w:r>
        <w:rPr>
          <w:rFonts w:hint="eastAsia" w:ascii="TimesNewRoman" w:hAnsi="TimesNewRoman" w:eastAsia="仿宋_GB2312" w:cs="TimesNewRoman"/>
          <w:bCs/>
          <w:sz w:val="32"/>
          <w:szCs w:val="32"/>
        </w:rPr>
        <w:t>2025年支出总表</w:t>
      </w:r>
    </w:p>
    <w:p w14:paraId="125C4647">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4、</w:t>
      </w:r>
      <w:r>
        <w:rPr>
          <w:rFonts w:hint="eastAsia" w:ascii="TimesNewRoman" w:hAnsi="TimesNewRoman" w:eastAsia="仿宋_GB2312" w:cs="TimesNewRoman"/>
          <w:bCs/>
          <w:sz w:val="32"/>
          <w:szCs w:val="32"/>
          <w:lang w:eastAsia="zh-CN"/>
        </w:rPr>
        <w:t>淮北市司法局</w:t>
      </w:r>
      <w:r>
        <w:rPr>
          <w:rFonts w:hint="eastAsia" w:ascii="TimesNewRoman" w:hAnsi="TimesNewRoman" w:eastAsia="仿宋_GB2312" w:cs="TimesNewRoman"/>
          <w:bCs/>
          <w:sz w:val="32"/>
          <w:szCs w:val="32"/>
        </w:rPr>
        <w:t>2025年财政拨款收支总表</w:t>
      </w:r>
    </w:p>
    <w:p w14:paraId="20899904">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5、</w:t>
      </w:r>
      <w:r>
        <w:rPr>
          <w:rFonts w:hint="eastAsia" w:ascii="TimesNewRoman" w:hAnsi="TimesNewRoman" w:eastAsia="仿宋_GB2312" w:cs="TimesNewRoman"/>
          <w:bCs/>
          <w:sz w:val="32"/>
          <w:szCs w:val="32"/>
          <w:lang w:eastAsia="zh-CN"/>
        </w:rPr>
        <w:t>淮北市司法局</w:t>
      </w:r>
      <w:r>
        <w:rPr>
          <w:rFonts w:hint="eastAsia" w:ascii="TimesNewRoman" w:hAnsi="TimesNewRoman" w:eastAsia="仿宋_GB2312" w:cs="TimesNewRoman"/>
          <w:bCs/>
          <w:sz w:val="32"/>
          <w:szCs w:val="32"/>
        </w:rPr>
        <w:t>2025年一般公共预算支出表</w:t>
      </w:r>
    </w:p>
    <w:p w14:paraId="721CBE58">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6、</w:t>
      </w:r>
      <w:r>
        <w:rPr>
          <w:rFonts w:hint="eastAsia" w:ascii="TimesNewRoman" w:hAnsi="TimesNewRoman" w:eastAsia="仿宋_GB2312" w:cs="TimesNewRoman"/>
          <w:bCs/>
          <w:sz w:val="32"/>
          <w:szCs w:val="32"/>
          <w:lang w:eastAsia="zh-CN"/>
        </w:rPr>
        <w:t>淮北市司法局</w:t>
      </w:r>
      <w:r>
        <w:rPr>
          <w:rFonts w:hint="eastAsia" w:ascii="TimesNewRoman" w:hAnsi="TimesNewRoman" w:eastAsia="仿宋_GB2312" w:cs="TimesNewRoman"/>
          <w:bCs/>
          <w:sz w:val="32"/>
          <w:szCs w:val="32"/>
        </w:rPr>
        <w:t>2025年一般公共预算基本支出表</w:t>
      </w:r>
    </w:p>
    <w:p w14:paraId="2CB39756">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7、</w:t>
      </w:r>
      <w:r>
        <w:rPr>
          <w:rFonts w:hint="eastAsia" w:ascii="TimesNewRoman" w:hAnsi="TimesNewRoman" w:eastAsia="仿宋_GB2312" w:cs="TimesNewRoman"/>
          <w:bCs/>
          <w:sz w:val="32"/>
          <w:szCs w:val="32"/>
          <w:lang w:eastAsia="zh-CN"/>
        </w:rPr>
        <w:t>淮北市司法局</w:t>
      </w:r>
      <w:r>
        <w:rPr>
          <w:rFonts w:hint="eastAsia" w:ascii="TimesNewRoman" w:hAnsi="TimesNewRoman" w:eastAsia="仿宋_GB2312" w:cs="TimesNewRoman"/>
          <w:bCs/>
          <w:sz w:val="32"/>
          <w:szCs w:val="32"/>
        </w:rPr>
        <w:t>2025年政府性基金预算支出表</w:t>
      </w:r>
    </w:p>
    <w:p w14:paraId="6BDE0FD5">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8、</w:t>
      </w:r>
      <w:r>
        <w:rPr>
          <w:rFonts w:hint="eastAsia" w:ascii="TimesNewRoman" w:hAnsi="TimesNewRoman" w:eastAsia="仿宋_GB2312" w:cs="TimesNewRoman"/>
          <w:bCs/>
          <w:sz w:val="32"/>
          <w:szCs w:val="32"/>
          <w:lang w:eastAsia="zh-CN"/>
        </w:rPr>
        <w:t>淮北市司法局</w:t>
      </w:r>
      <w:r>
        <w:rPr>
          <w:rFonts w:hint="eastAsia" w:ascii="TimesNewRoman" w:hAnsi="TimesNewRoman" w:eastAsia="仿宋_GB2312" w:cs="TimesNewRoman"/>
          <w:bCs/>
          <w:sz w:val="32"/>
          <w:szCs w:val="32"/>
        </w:rPr>
        <w:t>2025年国有资本经营预算支出表</w:t>
      </w:r>
    </w:p>
    <w:p w14:paraId="5B7ED1E1">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9、</w:t>
      </w:r>
      <w:r>
        <w:rPr>
          <w:rFonts w:hint="eastAsia" w:ascii="TimesNewRoman" w:hAnsi="TimesNewRoman" w:eastAsia="仿宋_GB2312" w:cs="TimesNewRoman"/>
          <w:bCs/>
          <w:sz w:val="32"/>
          <w:szCs w:val="32"/>
          <w:lang w:eastAsia="zh-CN"/>
        </w:rPr>
        <w:t>淮北市司法局</w:t>
      </w:r>
      <w:r>
        <w:rPr>
          <w:rFonts w:hint="eastAsia" w:ascii="TimesNewRoman" w:hAnsi="TimesNewRoman" w:eastAsia="仿宋_GB2312" w:cs="TimesNewRoman"/>
          <w:bCs/>
          <w:sz w:val="32"/>
          <w:szCs w:val="32"/>
        </w:rPr>
        <w:t>2025年项目支出表</w:t>
      </w:r>
    </w:p>
    <w:p w14:paraId="0D08B8BE">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10、</w:t>
      </w:r>
      <w:r>
        <w:rPr>
          <w:rFonts w:hint="eastAsia" w:ascii="TimesNewRoman" w:hAnsi="TimesNewRoman" w:eastAsia="仿宋_GB2312" w:cs="TimesNewRoman"/>
          <w:bCs/>
          <w:sz w:val="32"/>
          <w:szCs w:val="32"/>
          <w:lang w:eastAsia="zh-CN"/>
        </w:rPr>
        <w:t>淮北市司法局</w:t>
      </w:r>
      <w:r>
        <w:rPr>
          <w:rFonts w:hint="eastAsia" w:ascii="TimesNewRoman" w:hAnsi="TimesNewRoman" w:eastAsia="仿宋_GB2312" w:cs="TimesNewRoman"/>
          <w:bCs/>
          <w:sz w:val="32"/>
          <w:szCs w:val="32"/>
        </w:rPr>
        <w:t>2025年政府采购支出表</w:t>
      </w:r>
    </w:p>
    <w:p w14:paraId="5F1561C9">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11、</w:t>
      </w:r>
      <w:r>
        <w:rPr>
          <w:rFonts w:hint="eastAsia" w:ascii="TimesNewRoman" w:hAnsi="TimesNewRoman" w:eastAsia="仿宋_GB2312" w:cs="TimesNewRoman"/>
          <w:bCs/>
          <w:sz w:val="32"/>
          <w:szCs w:val="32"/>
          <w:lang w:eastAsia="zh-CN"/>
        </w:rPr>
        <w:t>淮北市司法局</w:t>
      </w:r>
      <w:r>
        <w:rPr>
          <w:rFonts w:hint="eastAsia" w:ascii="TimesNewRoman" w:hAnsi="TimesNewRoman" w:eastAsia="仿宋_GB2312" w:cs="TimesNewRoman"/>
          <w:bCs/>
          <w:sz w:val="32"/>
          <w:szCs w:val="32"/>
        </w:rPr>
        <w:t>2025年政府购买服务支出表</w:t>
      </w:r>
    </w:p>
    <w:p w14:paraId="276D3725">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12、</w:t>
      </w:r>
      <w:r>
        <w:rPr>
          <w:rFonts w:hint="eastAsia" w:ascii="TimesNewRoman" w:hAnsi="TimesNewRoman" w:eastAsia="仿宋_GB2312" w:cs="TimesNewRoman"/>
          <w:bCs/>
          <w:sz w:val="32"/>
          <w:szCs w:val="32"/>
          <w:lang w:eastAsia="zh-CN"/>
        </w:rPr>
        <w:t>淮北市司法局</w:t>
      </w:r>
      <w:r>
        <w:rPr>
          <w:rFonts w:ascii="TimesNewRoman" w:hAnsi="TimesNewRoman" w:eastAsia="仿宋_GB2312" w:cs="TimesNewRoman"/>
          <w:bCs/>
          <w:sz w:val="32"/>
          <w:szCs w:val="32"/>
        </w:rPr>
        <w:t>2025年通用资产配置支出表</w:t>
      </w:r>
    </w:p>
    <w:p w14:paraId="508DDB95">
      <w:pPr>
        <w:pStyle w:val="7"/>
        <w:adjustRightInd w:val="0"/>
        <w:snapToGrid w:val="0"/>
        <w:spacing w:line="400" w:lineRule="exact"/>
        <w:ind w:firstLine="643" w:firstLineChars="200"/>
        <w:rPr>
          <w:rFonts w:ascii="TimesNewRoman" w:hAnsi="TimesNewRoman" w:eastAsia="仿宋_GB2312" w:cs="TimesNewRoman"/>
          <w:b/>
          <w:sz w:val="32"/>
          <w:szCs w:val="32"/>
        </w:rPr>
      </w:pPr>
      <w:r>
        <w:rPr>
          <w:rFonts w:hint="eastAsia" w:ascii="TimesNewRoman" w:hAnsi="TimesNewRoman" w:eastAsia="仿宋_GB2312" w:cs="TimesNewRoman"/>
          <w:b/>
          <w:sz w:val="32"/>
          <w:szCs w:val="32"/>
        </w:rPr>
        <w:t>第三部分 2025年单位预算情况说明</w:t>
      </w:r>
    </w:p>
    <w:p w14:paraId="4C310B11">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1、关于2025年收支总表的说明</w:t>
      </w:r>
    </w:p>
    <w:p w14:paraId="1C373C91">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2、关于2025年收入总表的说明</w:t>
      </w:r>
    </w:p>
    <w:p w14:paraId="6ED0A6EA">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3、关于2025年支出总表的说明</w:t>
      </w:r>
    </w:p>
    <w:p w14:paraId="14BF59A1">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4、关于2025年财政拨款收支总表的说明</w:t>
      </w:r>
    </w:p>
    <w:p w14:paraId="10522443">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5、关于2025年一般公共预算支出表的说明</w:t>
      </w:r>
    </w:p>
    <w:p w14:paraId="023F0526">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6、关于2025年一般公共预算基本支出表的说明</w:t>
      </w:r>
    </w:p>
    <w:p w14:paraId="1C273B53">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7、关于2025年政府性基金预算支出表的说明</w:t>
      </w:r>
    </w:p>
    <w:p w14:paraId="2E72D2B6">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8、关于2025年国有资本经营预算支出表的说明</w:t>
      </w:r>
    </w:p>
    <w:p w14:paraId="73D7962A">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9、关于2025年项目支出表的说明</w:t>
      </w:r>
    </w:p>
    <w:p w14:paraId="2750DDE5">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10、关于2025年政府采购支出表的说明</w:t>
      </w:r>
    </w:p>
    <w:p w14:paraId="295EBB5F">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11、关于2025年政府购买服务支出表的说明</w:t>
      </w:r>
    </w:p>
    <w:p w14:paraId="7A683116">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12、其他重要事项情况说明</w:t>
      </w:r>
    </w:p>
    <w:p w14:paraId="0D9273B4">
      <w:pPr>
        <w:pStyle w:val="7"/>
        <w:adjustRightInd w:val="0"/>
        <w:snapToGrid w:val="0"/>
        <w:spacing w:line="400" w:lineRule="exact"/>
        <w:ind w:firstLine="643" w:firstLineChars="200"/>
        <w:rPr>
          <w:rFonts w:ascii="TimesNewRoman" w:hAnsi="TimesNewRoman" w:eastAsia="仿宋_GB2312" w:cs="TimesNewRoman"/>
          <w:b/>
          <w:sz w:val="32"/>
          <w:szCs w:val="32"/>
        </w:rPr>
      </w:pPr>
      <w:r>
        <w:rPr>
          <w:rFonts w:hint="eastAsia" w:ascii="TimesNewRoman" w:hAnsi="TimesNewRoman" w:eastAsia="仿宋_GB2312" w:cs="TimesNewRoman"/>
          <w:b/>
          <w:sz w:val="32"/>
          <w:szCs w:val="32"/>
        </w:rPr>
        <w:t>第四部分 名词解释</w:t>
      </w:r>
    </w:p>
    <w:p w14:paraId="3DBF9704">
      <w:pPr>
        <w:pStyle w:val="7"/>
        <w:adjustRightInd w:val="0"/>
        <w:snapToGrid w:val="0"/>
        <w:spacing w:line="400" w:lineRule="exact"/>
        <w:ind w:firstLine="643" w:firstLineChars="200"/>
        <w:rPr>
          <w:rFonts w:ascii="TimesNewRoman" w:hAnsi="TimesNewRoman" w:eastAsia="仿宋_GB2312" w:cs="TimesNewRoman"/>
          <w:b/>
          <w:sz w:val="32"/>
          <w:szCs w:val="32"/>
        </w:rPr>
      </w:pPr>
      <w:r>
        <w:rPr>
          <w:rFonts w:hint="eastAsia" w:ascii="TimesNewRoman" w:hAnsi="TimesNewRoman" w:eastAsia="仿宋_GB2312" w:cs="TimesNewRoman"/>
          <w:b/>
          <w:sz w:val="32"/>
          <w:szCs w:val="32"/>
        </w:rPr>
        <w:t>第五部分 其它公开事项</w:t>
      </w:r>
    </w:p>
    <w:p w14:paraId="7E28B6CD">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1、</w:t>
      </w:r>
      <w:r>
        <w:rPr>
          <w:rFonts w:hint="eastAsia" w:ascii="TimesNewRoman" w:hAnsi="TimesNewRoman" w:eastAsia="仿宋_GB2312" w:cs="TimesNewRoman"/>
          <w:bCs/>
          <w:sz w:val="32"/>
          <w:szCs w:val="32"/>
          <w:lang w:eastAsia="zh-CN"/>
        </w:rPr>
        <w:t>淮北市司法局</w:t>
      </w:r>
      <w:r>
        <w:rPr>
          <w:rFonts w:hint="eastAsia" w:ascii="TimesNewRoman" w:hAnsi="TimesNewRoman" w:eastAsia="仿宋_GB2312" w:cs="TimesNewRoman"/>
          <w:bCs/>
          <w:sz w:val="32"/>
          <w:szCs w:val="32"/>
        </w:rPr>
        <w:t>2025年</w:t>
      </w:r>
      <w:r>
        <w:rPr>
          <w:rFonts w:hint="eastAsia" w:ascii="TimesNewRoman" w:hAnsi="TimesNewRoman" w:eastAsia="仿宋_GB2312" w:cs="TimesNewRoman"/>
          <w:bCs/>
          <w:sz w:val="32"/>
          <w:szCs w:val="32"/>
          <w:lang w:eastAsia="zh-CN"/>
        </w:rPr>
        <w:t>单位</w:t>
      </w:r>
      <w:r>
        <w:rPr>
          <w:rFonts w:hint="eastAsia" w:ascii="TimesNewRoman" w:hAnsi="TimesNewRoman" w:eastAsia="仿宋_GB2312" w:cs="TimesNewRoman"/>
          <w:bCs/>
          <w:sz w:val="32"/>
          <w:szCs w:val="32"/>
        </w:rPr>
        <w:t>预算纳入绩效考评项目表</w:t>
      </w:r>
    </w:p>
    <w:p w14:paraId="171F9404">
      <w:pPr>
        <w:pStyle w:val="7"/>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2、</w:t>
      </w:r>
      <w:r>
        <w:rPr>
          <w:rFonts w:hint="eastAsia" w:ascii="TimesNewRoman" w:hAnsi="TimesNewRoman" w:eastAsia="仿宋_GB2312" w:cs="TimesNewRoman"/>
          <w:bCs/>
          <w:sz w:val="32"/>
          <w:szCs w:val="32"/>
          <w:lang w:eastAsia="zh-CN"/>
        </w:rPr>
        <w:t>淮北市司法局</w:t>
      </w:r>
      <w:r>
        <w:rPr>
          <w:rFonts w:hint="eastAsia" w:ascii="TimesNewRoman" w:hAnsi="TimesNewRoman" w:eastAsia="仿宋_GB2312" w:cs="TimesNewRoman"/>
          <w:bCs/>
          <w:sz w:val="32"/>
          <w:szCs w:val="32"/>
        </w:rPr>
        <w:t>2025年</w:t>
      </w:r>
      <w:r>
        <w:rPr>
          <w:rFonts w:hint="eastAsia" w:ascii="TimesNewRoman" w:hAnsi="TimesNewRoman" w:eastAsia="仿宋_GB2312" w:cs="TimesNewRoman"/>
          <w:bCs/>
          <w:sz w:val="32"/>
          <w:szCs w:val="32"/>
          <w:lang w:eastAsia="zh-CN"/>
        </w:rPr>
        <w:t>单位</w:t>
      </w:r>
      <w:r>
        <w:rPr>
          <w:rFonts w:hint="eastAsia" w:ascii="TimesNewRoman" w:hAnsi="TimesNewRoman" w:eastAsia="仿宋_GB2312" w:cs="TimesNewRoman"/>
          <w:bCs/>
          <w:sz w:val="32"/>
          <w:szCs w:val="32"/>
        </w:rPr>
        <w:t>预算专项资金管理清单（专栏公开）</w:t>
      </w:r>
    </w:p>
    <w:p w14:paraId="4DB64015">
      <w:pPr>
        <w:pStyle w:val="7"/>
        <w:adjustRightInd w:val="0"/>
        <w:snapToGrid w:val="0"/>
        <w:spacing w:line="400" w:lineRule="exact"/>
        <w:ind w:firstLine="800" w:firstLineChars="250"/>
        <w:rPr>
          <w:rFonts w:ascii="TimesNewRoman" w:hAnsi="TimesNewRoman" w:eastAsia="仿宋_GB2312" w:cs="TimesNewRoman"/>
          <w:bCs/>
          <w:sz w:val="32"/>
          <w:szCs w:val="32"/>
        </w:rPr>
      </w:pPr>
    </w:p>
    <w:p w14:paraId="3E2DDF5D">
      <w:pPr>
        <w:pStyle w:val="7"/>
        <w:adjustRightInd w:val="0"/>
        <w:snapToGrid w:val="0"/>
        <w:spacing w:line="560" w:lineRule="exact"/>
        <w:jc w:val="center"/>
        <w:rPr>
          <w:rFonts w:ascii="TimesNewRoman" w:hAnsi="TimesNewRoman" w:eastAsia="黑体" w:cs="TimesNewRoman"/>
          <w:bCs/>
          <w:sz w:val="36"/>
          <w:szCs w:val="36"/>
        </w:rPr>
      </w:pPr>
      <w:r>
        <w:rPr>
          <w:rFonts w:hint="eastAsia" w:ascii="TimesNewRoman" w:hAnsi="TimesNewRoman" w:eastAsia="黑体" w:cs="TimesNewRoman"/>
          <w:bCs/>
          <w:sz w:val="36"/>
          <w:szCs w:val="36"/>
        </w:rPr>
        <w:t>第一部分 单位概况</w:t>
      </w:r>
    </w:p>
    <w:p w14:paraId="4C411BDC"/>
    <w:p w14:paraId="17472054">
      <w:pPr>
        <w:pStyle w:val="7"/>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一、主要职责</w:t>
      </w:r>
    </w:p>
    <w:p w14:paraId="29CF221F">
      <w:pPr>
        <w:keepNext w:val="0"/>
        <w:keepLines w:val="0"/>
        <w:pageBreakBefore w:val="0"/>
        <w:kinsoku/>
        <w:wordWrap/>
        <w:overflowPunct/>
        <w:topLinePunct w:val="0"/>
        <w:autoSpaceDE/>
        <w:autoSpaceDN/>
        <w:bidi w:val="0"/>
        <w:spacing w:line="560" w:lineRule="exact"/>
        <w:ind w:firstLine="660"/>
        <w:textAlignment w:val="auto"/>
        <w:rPr>
          <w:rFonts w:hint="eastAsia" w:ascii="仿宋" w:hAnsi="仿宋" w:eastAsia="仿宋_GB2312"/>
          <w:sz w:val="32"/>
          <w:szCs w:val="32"/>
        </w:rPr>
      </w:pPr>
      <w:r>
        <w:rPr>
          <w:rFonts w:hint="eastAsia" w:ascii="仿宋" w:hAnsi="仿宋" w:eastAsia="仿宋_GB2312"/>
          <w:sz w:val="32"/>
          <w:szCs w:val="32"/>
        </w:rPr>
        <w:t>淮北市司法局局主要职责是：</w:t>
      </w:r>
    </w:p>
    <w:p w14:paraId="46924F9D">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_GB2312"/>
          <w:sz w:val="32"/>
          <w:szCs w:val="32"/>
        </w:rPr>
      </w:pPr>
      <w:r>
        <w:rPr>
          <w:rFonts w:hint="eastAsia" w:ascii="仿宋" w:hAnsi="仿宋" w:eastAsia="仿宋_GB2312"/>
          <w:sz w:val="32"/>
          <w:szCs w:val="32"/>
        </w:rPr>
        <w:t>（一）承担全面依法治市重大问题的政策研究，协调有关方面提出全面依法治市中长期规划建议，负责有关工作部署督察。</w:t>
      </w:r>
    </w:p>
    <w:p w14:paraId="4DF43E08">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_GB2312"/>
          <w:sz w:val="32"/>
          <w:szCs w:val="32"/>
        </w:rPr>
      </w:pPr>
      <w:r>
        <w:rPr>
          <w:rFonts w:hint="eastAsia" w:ascii="仿宋" w:hAnsi="仿宋" w:eastAsia="仿宋_GB2312"/>
          <w:sz w:val="32"/>
          <w:szCs w:val="32"/>
        </w:rPr>
        <w:t>（二）承担统筹规划立法工作的责任。协调有关方面提出立法规划和年度立法工作计划的建议，负责跟踪了解各部门对立法工作计划的落实情况，加强组织协调和督促指导，研究提出立法与改革相衔接的意见、措施。负责面向社会征集立法项目建议。</w:t>
      </w:r>
    </w:p>
    <w:p w14:paraId="289FD140">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_GB2312"/>
          <w:sz w:val="32"/>
          <w:szCs w:val="32"/>
        </w:rPr>
      </w:pPr>
      <w:r>
        <w:rPr>
          <w:rFonts w:hint="eastAsia" w:ascii="仿宋" w:hAnsi="仿宋" w:eastAsia="仿宋_GB2312"/>
          <w:sz w:val="32"/>
          <w:szCs w:val="32"/>
        </w:rPr>
        <w:t>（三）负责起草或者组织起草有关地方性法规、市政府规章草案。承办各部门报送市政府的地方性法规、市政府规章草案，以及需要由市政府批准的重要规范性文件草案的审查工作。负责立法协调。</w:t>
      </w:r>
    </w:p>
    <w:p w14:paraId="3377046E">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_GB2312"/>
          <w:sz w:val="32"/>
          <w:szCs w:val="32"/>
        </w:rPr>
      </w:pPr>
      <w:r>
        <w:rPr>
          <w:rFonts w:hint="eastAsia" w:ascii="仿宋" w:hAnsi="仿宋" w:eastAsia="仿宋_GB2312"/>
          <w:sz w:val="32"/>
          <w:szCs w:val="32"/>
        </w:rPr>
        <w:t>（四）承办市政府规章的解释、评估工作。负责协调各单位各部门实施地方性法规、市政府规章中的有关争议和问题。承办市政府规章清理、编纂工作。承担市政府重大决定事项合法性审查工作。负责市政府部门规范性文件的备案审查工作。组织开展规章、规范性文件清理工作。</w:t>
      </w:r>
    </w:p>
    <w:p w14:paraId="0126F62D">
      <w:pPr>
        <w:keepNext w:val="0"/>
        <w:keepLines w:val="0"/>
        <w:pageBreakBefore w:val="0"/>
        <w:kinsoku/>
        <w:wordWrap/>
        <w:overflowPunct/>
        <w:topLinePunct w:val="0"/>
        <w:autoSpaceDE/>
        <w:autoSpaceDN/>
        <w:bidi w:val="0"/>
        <w:spacing w:line="560" w:lineRule="exact"/>
        <w:ind w:firstLine="660"/>
        <w:textAlignment w:val="auto"/>
        <w:rPr>
          <w:rFonts w:hint="eastAsia" w:ascii="仿宋" w:hAnsi="仿宋" w:eastAsia="仿宋_GB2312"/>
          <w:sz w:val="32"/>
          <w:szCs w:val="32"/>
        </w:rPr>
      </w:pPr>
      <w:r>
        <w:rPr>
          <w:rFonts w:hint="eastAsia" w:ascii="仿宋" w:hAnsi="仿宋" w:eastAsia="仿宋_GB2312"/>
          <w:sz w:val="32"/>
          <w:szCs w:val="32"/>
        </w:rPr>
        <w:t>（五）承担统筹推进法治政府建设的责任。指导、监督市政府各部门及县区政府依法行政工作。负责综合协调行政执法，承担推进行政执法体制改革有关工作，开展全市行政执法监督工作，推进严格规范公正文明执法。承办申请市政府裁决的行政复议案件工作和市政府行政应诉事项。指导、监督全市行政复议和行政应诉工作，负责行政复议和应诉案件办理工作。</w:t>
      </w:r>
    </w:p>
    <w:p w14:paraId="78282B53">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_GB2312"/>
          <w:sz w:val="32"/>
          <w:szCs w:val="32"/>
        </w:rPr>
      </w:pPr>
      <w:r>
        <w:rPr>
          <w:rFonts w:hint="eastAsia" w:ascii="仿宋" w:hAnsi="仿宋" w:eastAsia="仿宋_GB2312"/>
          <w:sz w:val="32"/>
          <w:szCs w:val="32"/>
        </w:rPr>
        <w:t>（六）承担统筹规划法治社会建设的责任。负责拟订法治宣传教育规划，组织实施普法宣传工作，组织对外法治宣传。推动人民参与和促进法治建设。指导依法治理和法治创建工作。指导、监督全市基层司法所建设、人民调解、社区矫正、基层法律服务和帮教安置工作。</w:t>
      </w:r>
    </w:p>
    <w:p w14:paraId="18F7630E">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_GB2312"/>
          <w:sz w:val="32"/>
          <w:szCs w:val="32"/>
        </w:rPr>
      </w:pPr>
      <w:r>
        <w:rPr>
          <w:rFonts w:hint="eastAsia" w:ascii="仿宋" w:hAnsi="仿宋" w:eastAsia="仿宋_GB2312"/>
          <w:sz w:val="32"/>
          <w:szCs w:val="32"/>
        </w:rPr>
        <w:t>（七）负责拟订全市公共法律服务体系建设规划并指导实施，统筹和布局城乡、区域法律服务资源。负责管理指导监督全市律师、法律援助、司法鉴定、公证、仲裁和基层法律服务工作并承担相应责任，指导监督全市政府、企事业单位法律顾问工作，负责报批涉外及涉香港特别行政区、澳门特别行政区及台湾地区的有关公证事务。</w:t>
      </w:r>
    </w:p>
    <w:p w14:paraId="391E7A61">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_GB2312"/>
          <w:sz w:val="32"/>
          <w:szCs w:val="32"/>
        </w:rPr>
      </w:pPr>
      <w:r>
        <w:rPr>
          <w:rFonts w:hint="eastAsia" w:ascii="仿宋" w:hAnsi="仿宋" w:eastAsia="仿宋_GB2312"/>
          <w:sz w:val="32"/>
          <w:szCs w:val="32"/>
        </w:rPr>
        <w:t>（八）负责全市国家统一法律职业资格考试的组织实施工作。负责全市国家统一法律职业资格相关工作。负责规划和指导法律职业人员入职前培训工作。</w:t>
      </w:r>
    </w:p>
    <w:p w14:paraId="2C8DDEB6">
      <w:pPr>
        <w:keepNext w:val="0"/>
        <w:keepLines w:val="0"/>
        <w:pageBreakBefore w:val="0"/>
        <w:kinsoku/>
        <w:wordWrap/>
        <w:overflowPunct/>
        <w:topLinePunct w:val="0"/>
        <w:autoSpaceDE/>
        <w:autoSpaceDN/>
        <w:bidi w:val="0"/>
        <w:spacing w:line="560" w:lineRule="exact"/>
        <w:ind w:firstLine="660"/>
        <w:textAlignment w:val="auto"/>
        <w:rPr>
          <w:rFonts w:hint="eastAsia" w:ascii="仿宋" w:hAnsi="仿宋" w:eastAsia="仿宋_GB2312"/>
          <w:sz w:val="32"/>
          <w:szCs w:val="32"/>
        </w:rPr>
      </w:pPr>
      <w:r>
        <w:rPr>
          <w:rFonts w:hint="eastAsia" w:ascii="仿宋" w:hAnsi="仿宋" w:eastAsia="仿宋_GB2312"/>
          <w:sz w:val="32"/>
          <w:szCs w:val="32"/>
        </w:rPr>
        <w:t>（九）规划、协调、指导全市法治人才队伍建设相关工作，指导、监督本系统队伍建设。负责公证、律师系列的职称评审工作。协助县区管理司法局领导干部。</w:t>
      </w:r>
    </w:p>
    <w:p w14:paraId="2F36EF0D">
      <w:pPr>
        <w:pStyle w:val="7"/>
        <w:adjustRightInd w:val="0"/>
        <w:snapToGrid w:val="0"/>
        <w:spacing w:line="560" w:lineRule="exact"/>
        <w:ind w:firstLine="627" w:firstLineChars="196"/>
        <w:rPr>
          <w:rFonts w:hint="eastAsia" w:ascii="仿宋" w:hAnsi="仿宋" w:eastAsia="仿宋_GB2312"/>
          <w:sz w:val="32"/>
          <w:szCs w:val="32"/>
        </w:rPr>
      </w:pPr>
      <w:r>
        <w:rPr>
          <w:rFonts w:hint="eastAsia" w:ascii="仿宋" w:hAnsi="仿宋" w:eastAsia="仿宋_GB2312"/>
          <w:sz w:val="32"/>
          <w:szCs w:val="32"/>
        </w:rPr>
        <w:t>（十）完成市委、市政府交办的其他任务。</w:t>
      </w:r>
    </w:p>
    <w:p w14:paraId="452EAF0B">
      <w:pPr>
        <w:pStyle w:val="7"/>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二、单位预算构成</w:t>
      </w:r>
    </w:p>
    <w:p w14:paraId="50BF324D">
      <w:pPr>
        <w:pStyle w:val="7"/>
        <w:adjustRightInd w:val="0"/>
        <w:snapToGrid w:val="0"/>
        <w:spacing w:line="560" w:lineRule="exact"/>
        <w:ind w:firstLine="627" w:firstLineChars="196"/>
        <w:rPr>
          <w:rFonts w:ascii="TimesNewRoman" w:hAnsi="TimesNewRoman" w:eastAsia="仿宋_GB2312" w:cs="TimesNewRoman"/>
          <w:sz w:val="32"/>
          <w:szCs w:val="32"/>
        </w:rPr>
      </w:pPr>
      <w:r>
        <w:rPr>
          <w:rFonts w:hint="eastAsia" w:ascii="TimesNewRoman" w:hAnsi="TimesNewRoman" w:eastAsia="仿宋_GB2312" w:cs="TimesNewRoman"/>
          <w:sz w:val="32"/>
          <w:szCs w:val="32"/>
        </w:rPr>
        <w:t>从预算单位构成看，</w:t>
      </w:r>
      <w:r>
        <w:rPr>
          <w:rFonts w:hint="eastAsia" w:ascii="TimesNewRoman" w:hAnsi="TimesNewRoman" w:eastAsia="仿宋_GB2312" w:cs="TimesNewRoman"/>
          <w:bCs/>
          <w:sz w:val="32"/>
          <w:szCs w:val="32"/>
          <w:lang w:eastAsia="zh-CN"/>
        </w:rPr>
        <w:t>淮北市司法局</w:t>
      </w:r>
      <w:r>
        <w:rPr>
          <w:rFonts w:hint="eastAsia" w:ascii="TimesNewRoman" w:hAnsi="TimesNewRoman" w:eastAsia="仿宋_GB2312" w:cs="TimesNewRoman"/>
          <w:sz w:val="32"/>
          <w:szCs w:val="32"/>
        </w:rPr>
        <w:t>2025年度</w:t>
      </w:r>
      <w:r>
        <w:rPr>
          <w:rFonts w:hint="eastAsia" w:ascii="TimesNewRoman" w:hAnsi="TimesNewRoman" w:eastAsia="仿宋_GB2312" w:cs="TimesNewRoman"/>
          <w:sz w:val="32"/>
          <w:szCs w:val="32"/>
          <w:lang w:val="en-US" w:eastAsia="zh-CN"/>
        </w:rPr>
        <w:t>单位</w:t>
      </w:r>
      <w:r>
        <w:rPr>
          <w:rFonts w:hint="eastAsia" w:ascii="TimesNewRoman" w:hAnsi="TimesNewRoman" w:eastAsia="仿宋_GB2312" w:cs="TimesNewRoman"/>
          <w:sz w:val="32"/>
          <w:szCs w:val="32"/>
        </w:rPr>
        <w:t>预算包括局本级预算，纳入部门预算编制范围的预算单位共</w:t>
      </w:r>
      <w:r>
        <w:rPr>
          <w:rFonts w:hint="eastAsia" w:ascii="TimesNewRoman" w:hAnsi="TimesNewRoman" w:eastAsia="仿宋_GB2312" w:cs="TimesNewRoman"/>
          <w:sz w:val="32"/>
          <w:szCs w:val="32"/>
          <w:lang w:val="en-US" w:eastAsia="zh-CN"/>
        </w:rPr>
        <w:t>1</w:t>
      </w:r>
      <w:r>
        <w:rPr>
          <w:rFonts w:hint="eastAsia" w:ascii="TimesNewRoman" w:hAnsi="TimesNewRoman" w:eastAsia="仿宋_GB2312" w:cs="TimesNewRoman"/>
          <w:sz w:val="32"/>
          <w:szCs w:val="32"/>
        </w:rPr>
        <w:t>个，具体情况见下表。</w:t>
      </w:r>
    </w:p>
    <w:tbl>
      <w:tblPr>
        <w:tblStyle w:val="8"/>
        <w:tblW w:w="8540" w:type="dxa"/>
        <w:jc w:val="center"/>
        <w:tblLayout w:type="fixed"/>
        <w:tblCellMar>
          <w:top w:w="0" w:type="dxa"/>
          <w:left w:w="0" w:type="dxa"/>
          <w:bottom w:w="0" w:type="dxa"/>
          <w:right w:w="0" w:type="dxa"/>
        </w:tblCellMar>
      </w:tblPr>
      <w:tblGrid>
        <w:gridCol w:w="854"/>
        <w:gridCol w:w="3416"/>
        <w:gridCol w:w="4270"/>
      </w:tblGrid>
      <w:tr w14:paraId="0C401B6E">
        <w:tblPrEx>
          <w:tblCellMar>
            <w:top w:w="0" w:type="dxa"/>
            <w:left w:w="0" w:type="dxa"/>
            <w:bottom w:w="0" w:type="dxa"/>
            <w:right w:w="0" w:type="dxa"/>
          </w:tblCellMar>
        </w:tblPrEx>
        <w:trPr>
          <w:trHeight w:val="579" w:hRule="atLeast"/>
          <w:jc w:val="center"/>
        </w:trPr>
        <w:tc>
          <w:tcPr>
            <w:tcW w:w="854"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7E4989A">
            <w:pPr>
              <w:adjustRightInd w:val="0"/>
              <w:snapToGrid w:val="0"/>
              <w:spacing w:line="560" w:lineRule="exact"/>
              <w:jc w:val="center"/>
              <w:rPr>
                <w:rFonts w:ascii="TimesNewRoman" w:hAnsi="TimesNewRoman" w:cs="TimesNewRoman"/>
                <w:sz w:val="24"/>
              </w:rPr>
            </w:pPr>
            <w:r>
              <w:rPr>
                <w:rFonts w:ascii="TimesNewRoman" w:hAnsi="TimesNewRoman" w:cs="TimesNewRoman"/>
                <w:sz w:val="24"/>
              </w:rPr>
              <w:t>序号</w:t>
            </w:r>
          </w:p>
        </w:tc>
        <w:tc>
          <w:tcPr>
            <w:tcW w:w="3416"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640FC06">
            <w:pPr>
              <w:adjustRightInd w:val="0"/>
              <w:snapToGrid w:val="0"/>
              <w:spacing w:line="560" w:lineRule="exact"/>
              <w:jc w:val="center"/>
              <w:rPr>
                <w:rFonts w:ascii="TimesNewRoman" w:hAnsi="TimesNewRoman" w:cs="TimesNewRoman"/>
                <w:sz w:val="24"/>
              </w:rPr>
            </w:pPr>
            <w:r>
              <w:rPr>
                <w:rFonts w:ascii="TimesNewRoman" w:hAnsi="TimesNewRoman" w:cs="TimesNewRoman"/>
                <w:sz w:val="24"/>
              </w:rPr>
              <w:t>单位名称</w:t>
            </w:r>
          </w:p>
        </w:tc>
        <w:tc>
          <w:tcPr>
            <w:tcW w:w="4270" w:type="dxa"/>
            <w:tcBorders>
              <w:top w:val="single" w:color="auto" w:sz="8" w:space="0"/>
              <w:left w:val="nil"/>
              <w:bottom w:val="single" w:color="auto" w:sz="8" w:space="0"/>
              <w:right w:val="single" w:color="auto" w:sz="8" w:space="0"/>
            </w:tcBorders>
            <w:shd w:val="clear" w:color="auto" w:fill="FFFFFF"/>
            <w:vAlign w:val="center"/>
          </w:tcPr>
          <w:p w14:paraId="78D7A8D8">
            <w:pPr>
              <w:adjustRightInd w:val="0"/>
              <w:snapToGrid w:val="0"/>
              <w:spacing w:line="560" w:lineRule="exact"/>
              <w:jc w:val="center"/>
              <w:rPr>
                <w:rFonts w:ascii="TimesNewRoman" w:hAnsi="TimesNewRoman" w:cs="TimesNewRoman"/>
                <w:sz w:val="24"/>
              </w:rPr>
            </w:pPr>
            <w:r>
              <w:rPr>
                <w:rFonts w:ascii="TimesNewRoman" w:hAnsi="TimesNewRoman" w:cs="TimesNewRoman"/>
                <w:sz w:val="24"/>
              </w:rPr>
              <w:t>单位性质</w:t>
            </w:r>
          </w:p>
        </w:tc>
      </w:tr>
      <w:tr w14:paraId="443FA493">
        <w:tblPrEx>
          <w:tblCellMar>
            <w:top w:w="0" w:type="dxa"/>
            <w:left w:w="0" w:type="dxa"/>
            <w:bottom w:w="0" w:type="dxa"/>
            <w:right w:w="0" w:type="dxa"/>
          </w:tblCellMar>
        </w:tblPrEx>
        <w:trPr>
          <w:trHeight w:val="579" w:hRule="atLeast"/>
          <w:jc w:val="center"/>
        </w:trPr>
        <w:tc>
          <w:tcPr>
            <w:tcW w:w="85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6C50EC9">
            <w:pPr>
              <w:adjustRightInd w:val="0"/>
              <w:snapToGrid w:val="0"/>
              <w:spacing w:line="560" w:lineRule="exact"/>
              <w:jc w:val="center"/>
              <w:rPr>
                <w:rFonts w:ascii="TimesNewRoman" w:hAnsi="TimesNewRoman" w:cs="TimesNewRoman"/>
                <w:sz w:val="24"/>
              </w:rPr>
            </w:pPr>
            <w:r>
              <w:rPr>
                <w:rFonts w:ascii="TimesNewRoman" w:hAnsi="TimesNewRoman" w:cs="TimesNewRoman"/>
                <w:sz w:val="24"/>
              </w:rPr>
              <w:t>1</w:t>
            </w:r>
          </w:p>
        </w:tc>
        <w:tc>
          <w:tcPr>
            <w:tcW w:w="34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C422D57">
            <w:pPr>
              <w:adjustRightInd w:val="0"/>
              <w:snapToGrid w:val="0"/>
              <w:spacing w:line="560" w:lineRule="exact"/>
              <w:jc w:val="center"/>
              <w:rPr>
                <w:rFonts w:ascii="TimesNewRoman" w:hAnsi="TimesNewRoman" w:cs="TimesNewRoman"/>
                <w:sz w:val="24"/>
                <w:u w:val="single"/>
              </w:rPr>
            </w:pPr>
            <w:r>
              <w:rPr>
                <w:rFonts w:hint="eastAsia" w:ascii="TimesNewRoman" w:hAnsi="TimesNewRoman" w:cs="TimesNewRoman"/>
                <w:bCs/>
                <w:sz w:val="24"/>
                <w:lang w:eastAsia="zh-CN"/>
              </w:rPr>
              <w:t>淮北市司法局</w:t>
            </w:r>
            <w:r>
              <w:rPr>
                <w:rFonts w:ascii="TimesNewRoman" w:hAnsi="TimesNewRoman" w:cs="TimesNewRoman"/>
                <w:bCs/>
                <w:sz w:val="24"/>
              </w:rPr>
              <w:t>本级</w:t>
            </w:r>
          </w:p>
        </w:tc>
        <w:tc>
          <w:tcPr>
            <w:tcW w:w="4270" w:type="dxa"/>
            <w:tcBorders>
              <w:top w:val="nil"/>
              <w:left w:val="nil"/>
              <w:bottom w:val="single" w:color="auto" w:sz="8" w:space="0"/>
              <w:right w:val="single" w:color="auto" w:sz="8" w:space="0"/>
            </w:tcBorders>
            <w:shd w:val="clear" w:color="auto" w:fill="FFFFFF"/>
            <w:vAlign w:val="center"/>
          </w:tcPr>
          <w:p w14:paraId="5F05122D">
            <w:pPr>
              <w:adjustRightInd w:val="0"/>
              <w:snapToGrid w:val="0"/>
              <w:spacing w:line="560" w:lineRule="exact"/>
              <w:jc w:val="center"/>
              <w:rPr>
                <w:rFonts w:ascii="TimesNewRoman" w:hAnsi="TimesNewRoman" w:cs="TimesNewRoman"/>
                <w:sz w:val="24"/>
                <w:u w:val="single"/>
              </w:rPr>
            </w:pPr>
            <w:r>
              <w:rPr>
                <w:rFonts w:ascii="TimesNewRoman" w:hAnsi="TimesNewRoman" w:cs="TimesNewRoman"/>
                <w:bCs/>
                <w:sz w:val="24"/>
              </w:rPr>
              <w:t>行政单位</w:t>
            </w:r>
          </w:p>
        </w:tc>
      </w:tr>
      <w:tr w14:paraId="4F465C62">
        <w:tblPrEx>
          <w:tblCellMar>
            <w:top w:w="0" w:type="dxa"/>
            <w:left w:w="0" w:type="dxa"/>
            <w:bottom w:w="0" w:type="dxa"/>
            <w:right w:w="0" w:type="dxa"/>
          </w:tblCellMar>
        </w:tblPrEx>
        <w:trPr>
          <w:trHeight w:val="579" w:hRule="atLeast"/>
          <w:jc w:val="center"/>
        </w:trPr>
        <w:tc>
          <w:tcPr>
            <w:tcW w:w="85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97D843C">
            <w:pPr>
              <w:adjustRightInd w:val="0"/>
              <w:snapToGrid w:val="0"/>
              <w:spacing w:line="560" w:lineRule="exact"/>
              <w:jc w:val="center"/>
              <w:rPr>
                <w:rFonts w:ascii="TimesNewRoman" w:hAnsi="TimesNewRoman" w:cs="TimesNewRoman"/>
                <w:sz w:val="24"/>
              </w:rPr>
            </w:pPr>
          </w:p>
        </w:tc>
        <w:tc>
          <w:tcPr>
            <w:tcW w:w="34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76F0B82">
            <w:pPr>
              <w:adjustRightInd w:val="0"/>
              <w:snapToGrid w:val="0"/>
              <w:spacing w:line="560" w:lineRule="exact"/>
              <w:rPr>
                <w:rFonts w:ascii="TimesNewRoman" w:hAnsi="TimesNewRoman" w:cs="TimesNewRoman"/>
                <w:sz w:val="24"/>
                <w:u w:val="single"/>
              </w:rPr>
            </w:pPr>
          </w:p>
        </w:tc>
        <w:tc>
          <w:tcPr>
            <w:tcW w:w="4270" w:type="dxa"/>
            <w:tcBorders>
              <w:top w:val="nil"/>
              <w:left w:val="nil"/>
              <w:bottom w:val="single" w:color="auto" w:sz="8" w:space="0"/>
              <w:right w:val="single" w:color="auto" w:sz="8" w:space="0"/>
            </w:tcBorders>
            <w:shd w:val="clear" w:color="auto" w:fill="FFFFFF"/>
            <w:vAlign w:val="center"/>
          </w:tcPr>
          <w:p w14:paraId="6CBC4DB9">
            <w:pPr>
              <w:adjustRightInd w:val="0"/>
              <w:snapToGrid w:val="0"/>
              <w:spacing w:line="560" w:lineRule="exact"/>
              <w:jc w:val="center"/>
              <w:rPr>
                <w:rFonts w:ascii="TimesNewRoman" w:hAnsi="TimesNewRoman" w:cs="TimesNewRoman"/>
                <w:sz w:val="24"/>
                <w:u w:val="single"/>
              </w:rPr>
            </w:pPr>
          </w:p>
        </w:tc>
      </w:tr>
      <w:tr w14:paraId="601149F4">
        <w:tblPrEx>
          <w:tblCellMar>
            <w:top w:w="0" w:type="dxa"/>
            <w:left w:w="0" w:type="dxa"/>
            <w:bottom w:w="0" w:type="dxa"/>
            <w:right w:w="0" w:type="dxa"/>
          </w:tblCellMar>
        </w:tblPrEx>
        <w:trPr>
          <w:trHeight w:val="579" w:hRule="atLeast"/>
          <w:jc w:val="center"/>
        </w:trPr>
        <w:tc>
          <w:tcPr>
            <w:tcW w:w="85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6256BC1">
            <w:pPr>
              <w:adjustRightInd w:val="0"/>
              <w:snapToGrid w:val="0"/>
              <w:spacing w:line="560" w:lineRule="exact"/>
              <w:jc w:val="center"/>
              <w:rPr>
                <w:rFonts w:ascii="TimesNewRoman" w:hAnsi="TimesNewRoman" w:cs="TimesNewRoman"/>
                <w:sz w:val="24"/>
              </w:rPr>
            </w:pPr>
          </w:p>
        </w:tc>
        <w:tc>
          <w:tcPr>
            <w:tcW w:w="34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D01D867">
            <w:pPr>
              <w:adjustRightInd w:val="0"/>
              <w:snapToGrid w:val="0"/>
              <w:spacing w:line="560" w:lineRule="exact"/>
              <w:rPr>
                <w:rFonts w:ascii="TimesNewRoman" w:hAnsi="TimesNewRoman" w:cs="TimesNewRoman"/>
                <w:sz w:val="24"/>
                <w:u w:val="single"/>
              </w:rPr>
            </w:pPr>
          </w:p>
        </w:tc>
        <w:tc>
          <w:tcPr>
            <w:tcW w:w="4270" w:type="dxa"/>
            <w:tcBorders>
              <w:top w:val="nil"/>
              <w:left w:val="nil"/>
              <w:bottom w:val="single" w:color="auto" w:sz="8" w:space="0"/>
              <w:right w:val="single" w:color="auto" w:sz="8" w:space="0"/>
            </w:tcBorders>
            <w:shd w:val="clear" w:color="auto" w:fill="FFFFFF"/>
            <w:vAlign w:val="center"/>
          </w:tcPr>
          <w:p w14:paraId="2692C0E0">
            <w:pPr>
              <w:adjustRightInd w:val="0"/>
              <w:snapToGrid w:val="0"/>
              <w:spacing w:line="560" w:lineRule="exact"/>
              <w:jc w:val="center"/>
              <w:rPr>
                <w:rFonts w:ascii="TimesNewRoman" w:hAnsi="TimesNewRoman" w:cs="TimesNewRoman"/>
                <w:sz w:val="24"/>
                <w:u w:val="single"/>
              </w:rPr>
            </w:pPr>
          </w:p>
        </w:tc>
      </w:tr>
    </w:tbl>
    <w:p w14:paraId="3C56FFAF">
      <w:pPr>
        <w:pStyle w:val="7"/>
        <w:adjustRightInd w:val="0"/>
        <w:snapToGrid w:val="0"/>
        <w:spacing w:line="560" w:lineRule="exact"/>
        <w:rPr>
          <w:rFonts w:ascii="TimesNewRoman" w:hAnsi="TimesNewRoman" w:eastAsia="仿宋_GB2312" w:cs="TimesNewRoman"/>
          <w:sz w:val="32"/>
          <w:szCs w:val="32"/>
        </w:rPr>
      </w:pPr>
    </w:p>
    <w:p w14:paraId="33A3072B">
      <w:pPr>
        <w:pStyle w:val="7"/>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三、2025年度主要工作任务</w:t>
      </w:r>
    </w:p>
    <w:p w14:paraId="05495703">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560" w:lineRule="exact"/>
        <w:ind w:left="0" w:leftChars="0" w:firstLine="643" w:firstLineChars="200"/>
        <w:jc w:val="left"/>
        <w:textAlignment w:val="baseline"/>
        <w:rPr>
          <w:rFonts w:hint="eastAsia" w:ascii="仿宋" w:hAnsi="仿宋" w:eastAsia="楷体_GB2312" w:cs="楷体_GB2312"/>
          <w:b/>
          <w:bCs/>
          <w:i w:val="0"/>
          <w:caps w:val="0"/>
          <w:spacing w:val="0"/>
          <w:w w:val="100"/>
          <w:sz w:val="32"/>
          <w:szCs w:val="32"/>
          <w:lang w:eastAsia="zh-CN"/>
        </w:rPr>
      </w:pPr>
      <w:r>
        <w:rPr>
          <w:rFonts w:hint="eastAsia" w:ascii="仿宋" w:hAnsi="仿宋" w:eastAsia="楷体_GB2312" w:cs="楷体_GB2312"/>
          <w:b/>
          <w:bCs/>
          <w:i w:val="0"/>
          <w:caps w:val="0"/>
          <w:spacing w:val="0"/>
          <w:w w:val="100"/>
          <w:sz w:val="32"/>
          <w:szCs w:val="32"/>
          <w:lang w:eastAsia="zh-CN"/>
        </w:rPr>
        <w:t>持续推进思想和政治建设</w:t>
      </w:r>
    </w:p>
    <w:p w14:paraId="50AD6D53">
      <w:pPr>
        <w:keepNext w:val="0"/>
        <w:keepLines w:val="0"/>
        <w:pageBreakBefore w:val="0"/>
        <w:widowControl/>
        <w:numPr>
          <w:ilvl w:val="0"/>
          <w:numId w:val="0"/>
        </w:numPr>
        <w:suppressLineNumbers w:val="0"/>
        <w:kinsoku/>
        <w:overflowPunct/>
        <w:autoSpaceDE/>
        <w:autoSpaceDN/>
        <w:bidi w:val="0"/>
        <w:spacing w:line="560" w:lineRule="exact"/>
        <w:ind w:firstLine="640" w:firstLineChars="200"/>
        <w:jc w:val="left"/>
        <w:textAlignment w:val="auto"/>
        <w:rPr>
          <w:rFonts w:hint="eastAsia" w:ascii="仿宋" w:hAnsi="仿宋"/>
          <w:lang w:eastAsia="zh-CN"/>
        </w:rPr>
      </w:pPr>
      <w:r>
        <w:rPr>
          <w:rFonts w:hint="eastAsia" w:ascii="仿宋" w:hAnsi="仿宋" w:eastAsia="仿宋_GB2312" w:cs="仿宋_GB2312"/>
          <w:sz w:val="32"/>
          <w:szCs w:val="32"/>
        </w:rPr>
        <w:t>深入</w:t>
      </w:r>
      <w:r>
        <w:rPr>
          <w:rFonts w:hint="eastAsia" w:ascii="仿宋_GB2312" w:hAnsi="仿宋_GB2312" w:eastAsia="仿宋_GB2312" w:cs="仿宋_GB2312"/>
          <w:color w:val="auto"/>
          <w:sz w:val="32"/>
          <w:szCs w:val="32"/>
          <w:lang w:val="en-US" w:eastAsia="zh-CN"/>
        </w:rPr>
        <w:t>学习宣传贯彻党的二十大和二十届二中、三中全会精神、习近平法治思想、习近平总书记关于全面依法治国和司法行政工作的重要指示批示精神，以及习近平总书记考察安徽重要讲话精神，推进各项措</w:t>
      </w:r>
      <w:r>
        <w:rPr>
          <w:rFonts w:hint="eastAsia" w:ascii="仿宋_GB2312" w:hAnsi="仿宋_GB2312" w:eastAsia="仿宋_GB2312" w:cs="仿宋_GB2312"/>
          <w:color w:val="auto"/>
          <w:sz w:val="32"/>
          <w:szCs w:val="32"/>
          <w:lang w:eastAsia="zh-CN"/>
        </w:rPr>
        <w:t>施有机融入中心工作，</w:t>
      </w:r>
      <w:r>
        <w:rPr>
          <w:rFonts w:hint="eastAsia" w:ascii="仿宋_GB2312" w:hAnsi="仿宋_GB2312" w:eastAsia="仿宋_GB2312" w:cs="仿宋_GB2312"/>
          <w:color w:val="auto"/>
          <w:sz w:val="32"/>
          <w:szCs w:val="32"/>
          <w:lang w:val="en-US" w:eastAsia="zh-CN"/>
        </w:rPr>
        <w:t>确保党中央及省委、市委决策部署得到全面落实</w:t>
      </w:r>
      <w:r>
        <w:rPr>
          <w:rFonts w:hint="eastAsia" w:ascii="仿宋_GB2312" w:hAnsi="仿宋_GB2312" w:eastAsia="仿宋_GB2312" w:cs="仿宋_GB2312"/>
          <w:color w:val="auto"/>
          <w:sz w:val="32"/>
          <w:szCs w:val="32"/>
          <w:lang w:eastAsia="zh-CN"/>
        </w:rPr>
        <w:t>。按照“司法行政讲政治、业务工作重党建”要求，</w:t>
      </w:r>
      <w:r>
        <w:rPr>
          <w:rFonts w:hint="eastAsia" w:ascii="仿宋_GB2312" w:hAnsi="仿宋_GB2312" w:eastAsia="仿宋_GB2312" w:cs="仿宋_GB2312"/>
          <w:color w:val="auto"/>
          <w:sz w:val="32"/>
          <w:szCs w:val="32"/>
          <w:lang w:val="en-US" w:eastAsia="zh-CN"/>
        </w:rPr>
        <w:t>持续强化政治建设和专业能力建设，狠抓作风转变；</w:t>
      </w:r>
      <w:r>
        <w:rPr>
          <w:rFonts w:hint="eastAsia" w:ascii="仿宋_GB2312" w:hAnsi="仿宋_GB2312" w:eastAsia="仿宋_GB2312" w:cs="仿宋_GB2312"/>
          <w:color w:val="auto"/>
          <w:sz w:val="32"/>
          <w:szCs w:val="32"/>
          <w:lang w:eastAsia="zh-CN"/>
        </w:rPr>
        <w:t>严格落实重大事项请示报告制度、意识形态工作责任制以及行业主管部门主体责任</w:t>
      </w:r>
      <w:r>
        <w:rPr>
          <w:rFonts w:hint="eastAsia" w:ascii="仿宋_GB2312" w:hAnsi="仿宋_GB2312" w:eastAsia="仿宋_GB2312" w:cs="仿宋_GB2312"/>
          <w:color w:val="auto"/>
          <w:sz w:val="32"/>
          <w:szCs w:val="32"/>
          <w:lang w:val="en-US" w:eastAsia="zh-CN"/>
        </w:rPr>
        <w:t>。</w:t>
      </w:r>
      <w:r>
        <w:rPr>
          <w:rFonts w:hint="eastAsia" w:ascii="仿宋" w:hAnsi="仿宋" w:eastAsia="仿宋_GB2312" w:cs="仿宋_GB2312"/>
          <w:sz w:val="32"/>
          <w:szCs w:val="32"/>
          <w:lang w:eastAsia="zh-CN"/>
        </w:rPr>
        <w:t>继续巩固</w:t>
      </w:r>
      <w:r>
        <w:rPr>
          <w:rFonts w:hint="eastAsia" w:ascii="仿宋" w:hAnsi="仿宋" w:eastAsia="仿宋_GB2312" w:cs="仿宋_GB2312"/>
          <w:sz w:val="32"/>
          <w:szCs w:val="32"/>
        </w:rPr>
        <w:t>政法队伍教育整顿</w:t>
      </w:r>
      <w:r>
        <w:rPr>
          <w:rFonts w:hint="eastAsia" w:ascii="仿宋" w:hAnsi="仿宋" w:eastAsia="仿宋_GB2312" w:cs="仿宋_GB2312"/>
          <w:sz w:val="32"/>
          <w:szCs w:val="32"/>
          <w:lang w:eastAsia="zh-CN"/>
        </w:rPr>
        <w:t>和党史学习教育</w:t>
      </w:r>
      <w:bookmarkStart w:id="0" w:name="_GoBack"/>
      <w:bookmarkEnd w:id="0"/>
      <w:r>
        <w:rPr>
          <w:rFonts w:hint="eastAsia" w:ascii="仿宋" w:hAnsi="仿宋" w:eastAsia="仿宋_GB2312" w:cs="仿宋_GB2312"/>
          <w:sz w:val="32"/>
          <w:szCs w:val="32"/>
          <w:lang w:eastAsia="zh-CN"/>
        </w:rPr>
        <w:t>成果，</w:t>
      </w:r>
      <w:r>
        <w:rPr>
          <w:rFonts w:hint="eastAsia" w:ascii="仿宋" w:hAnsi="仿宋" w:eastAsia="仿宋_GB2312" w:cs="仿宋_GB2312"/>
          <w:sz w:val="32"/>
          <w:szCs w:val="32"/>
        </w:rPr>
        <w:t>不断加强党员教育监督管理，强化政治理论教育</w:t>
      </w:r>
      <w:r>
        <w:rPr>
          <w:rFonts w:hint="eastAsia" w:ascii="仿宋" w:hAnsi="仿宋" w:eastAsia="仿宋_GB2312" w:cs="仿宋_GB2312"/>
          <w:sz w:val="32"/>
          <w:szCs w:val="32"/>
          <w:lang w:eastAsia="zh-CN"/>
        </w:rPr>
        <w:t>，切实铸牢政治忠诚，始终在思想上政治上行动上同以习近平同志为核心的党中央保持高度一致</w:t>
      </w:r>
      <w:r>
        <w:rPr>
          <w:rFonts w:hint="eastAsia" w:ascii="仿宋" w:hAnsi="仿宋" w:eastAsia="仿宋_GB2312" w:cs="仿宋_GB2312"/>
          <w:sz w:val="32"/>
          <w:szCs w:val="32"/>
        </w:rPr>
        <w:t>。</w:t>
      </w:r>
    </w:p>
    <w:p w14:paraId="64080E9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3" w:firstLineChars="200"/>
        <w:jc w:val="left"/>
        <w:textAlignment w:val="baseline"/>
        <w:rPr>
          <w:rFonts w:hint="eastAsia" w:ascii="仿宋" w:hAnsi="仿宋" w:eastAsia="楷体_GB2312" w:cs="楷体_GB2312"/>
          <w:b/>
          <w:bCs/>
          <w:i w:val="0"/>
          <w:caps w:val="0"/>
          <w:spacing w:val="0"/>
          <w:w w:val="100"/>
          <w:sz w:val="32"/>
          <w:szCs w:val="32"/>
          <w:lang w:eastAsia="zh-CN"/>
        </w:rPr>
      </w:pPr>
      <w:r>
        <w:rPr>
          <w:rFonts w:hint="eastAsia" w:ascii="仿宋" w:hAnsi="仿宋" w:eastAsia="楷体_GB2312" w:cs="楷体_GB2312"/>
          <w:b/>
          <w:bCs/>
          <w:i w:val="0"/>
          <w:caps w:val="0"/>
          <w:spacing w:val="0"/>
          <w:w w:val="100"/>
          <w:sz w:val="32"/>
          <w:szCs w:val="32"/>
          <w:lang w:eastAsia="zh-CN"/>
        </w:rPr>
        <w:t>（二）持续推进法治政府建设</w:t>
      </w:r>
    </w:p>
    <w:p w14:paraId="3E1D285F">
      <w:pPr>
        <w:keepNext w:val="0"/>
        <w:keepLines w:val="0"/>
        <w:pageBreakBefore w:val="0"/>
        <w:widowControl/>
        <w:kinsoku/>
        <w:wordWrap w:val="0"/>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lang w:val="en-US" w:eastAsia="zh-CN"/>
        </w:rPr>
      </w:pPr>
      <w:r>
        <w:rPr>
          <w:rFonts w:hint="eastAsia" w:ascii="仿宋" w:hAnsi="仿宋" w:eastAsia="仿宋_GB2312" w:cs="仿宋_GB2312"/>
          <w:b w:val="0"/>
          <w:i w:val="0"/>
          <w:caps w:val="0"/>
          <w:spacing w:val="0"/>
          <w:w w:val="100"/>
          <w:sz w:val="32"/>
          <w:szCs w:val="32"/>
          <w:lang w:val="en-US" w:eastAsia="zh-CN"/>
        </w:rPr>
        <w:t>常态化开展法治政府建设综合性和专项督察活动，紧盯工作重点、难点，全面推进各县区各单位法治政府建设任务，确保各项工作有序推进，</w:t>
      </w:r>
      <w:r>
        <w:rPr>
          <w:rFonts w:hint="eastAsia" w:ascii="仿宋" w:hAnsi="仿宋" w:eastAsia="仿宋_GB2312" w:cs="仿宋_GB2312"/>
          <w:b w:val="0"/>
          <w:bCs w:val="0"/>
          <w:i w:val="0"/>
          <w:caps w:val="0"/>
          <w:spacing w:val="0"/>
          <w:w w:val="100"/>
          <w:sz w:val="32"/>
          <w:szCs w:val="32"/>
          <w:lang w:eastAsia="zh-CN"/>
        </w:rPr>
        <w:t>提升法治政府建设水平。</w:t>
      </w:r>
      <w:r>
        <w:rPr>
          <w:rFonts w:hint="eastAsia" w:ascii="仿宋" w:hAnsi="仿宋" w:eastAsia="仿宋_GB2312" w:cs="仿宋_GB2312"/>
          <w:b w:val="0"/>
          <w:i w:val="0"/>
          <w:caps w:val="0"/>
          <w:spacing w:val="0"/>
          <w:w w:val="100"/>
          <w:sz w:val="32"/>
          <w:szCs w:val="32"/>
          <w:lang w:eastAsia="zh-CN"/>
        </w:rPr>
        <w:t>按照年度重点任务分工，推动依法行政各项工作任务落地生效。完善行政立法机制，科学、民主立法，提高立法质量和水平。</w:t>
      </w:r>
      <w:r>
        <w:rPr>
          <w:rFonts w:hint="eastAsia" w:ascii="仿宋_GB2312" w:hAnsi="仿宋_GB2312" w:eastAsia="仿宋_GB2312" w:cs="仿宋_GB2312"/>
          <w:color w:val="auto"/>
          <w:sz w:val="32"/>
          <w:szCs w:val="32"/>
          <w:lang w:val="en-US" w:eastAsia="zh-CN"/>
        </w:rPr>
        <w:t>全面做好全市“一规划两方案”验收评估，启动法治建设三年行</w:t>
      </w:r>
      <w:r>
        <w:rPr>
          <w:rFonts w:hint="eastAsia" w:ascii="Times New Roman" w:hAnsi="Times New Roman" w:eastAsia="仿宋_GB2312" w:cs="Times New Roman"/>
          <w:b w:val="0"/>
          <w:bCs w:val="0"/>
          <w:color w:val="auto"/>
          <w:kern w:val="2"/>
          <w:sz w:val="32"/>
          <w:szCs w:val="32"/>
          <w:lang w:val="en-US" w:eastAsia="zh-CN" w:bidi="ar-SA"/>
        </w:rPr>
        <w:t>动计划（2025-2027年），推进法治领域改革项目落地。紧抓法治建设责任落</w:t>
      </w:r>
      <w:r>
        <w:rPr>
          <w:rFonts w:hint="eastAsia" w:ascii="仿宋_GB2312" w:hAnsi="仿宋_GB2312" w:eastAsia="仿宋_GB2312" w:cs="仿宋_GB2312"/>
          <w:b w:val="0"/>
          <w:bCs w:val="0"/>
          <w:color w:val="auto"/>
          <w:sz w:val="32"/>
          <w:szCs w:val="32"/>
          <w:lang w:eastAsia="zh-CN"/>
        </w:rPr>
        <w:t>实，组织开展中央依法治国办来皖法治督察反馈整改，</w:t>
      </w:r>
      <w:r>
        <w:rPr>
          <w:rFonts w:hint="eastAsia" w:ascii="仿宋_GB2312" w:hAnsi="仿宋_GB2312" w:eastAsia="仿宋_GB2312" w:cs="仿宋_GB2312"/>
          <w:color w:val="auto"/>
          <w:sz w:val="32"/>
          <w:szCs w:val="32"/>
          <w:lang w:val="en-US" w:eastAsia="zh-CN"/>
        </w:rPr>
        <w:t>做好省委依法治省办法治督察迎检准备，</w:t>
      </w:r>
      <w:r>
        <w:rPr>
          <w:rFonts w:hint="eastAsia" w:ascii="仿宋_GB2312" w:hAnsi="仿宋_GB2312" w:eastAsia="仿宋_GB2312" w:cs="仿宋_GB2312"/>
          <w:b w:val="0"/>
          <w:bCs w:val="0"/>
          <w:color w:val="auto"/>
          <w:sz w:val="32"/>
          <w:szCs w:val="32"/>
          <w:lang w:eastAsia="zh-CN"/>
        </w:rPr>
        <w:t>巩固提升领导干部述法工作实效。</w:t>
      </w:r>
      <w:r>
        <w:rPr>
          <w:rFonts w:hint="eastAsia" w:ascii="仿宋_GB2312" w:hAnsi="仿宋_GB2312" w:eastAsia="仿宋_GB2312" w:cs="仿宋_GB2312"/>
          <w:color w:val="auto"/>
          <w:sz w:val="32"/>
          <w:szCs w:val="32"/>
          <w:lang w:val="en-US" w:eastAsia="zh-CN"/>
        </w:rPr>
        <w:t>统筹推进法治化营商环境建设，持续深化</w:t>
      </w:r>
      <w:r>
        <w:rPr>
          <w:rFonts w:hint="default" w:ascii="Times New Roman" w:hAnsi="Times New Roman" w:eastAsia="仿宋_GB2312" w:cs="Times New Roman"/>
          <w:color w:val="auto"/>
          <w:sz w:val="32"/>
          <w:szCs w:val="32"/>
          <w:lang w:val="en-US" w:eastAsia="zh-CN"/>
        </w:rPr>
        <w:t>公共政策兑现和政府履约践诺专项行</w:t>
      </w:r>
      <w:r>
        <w:rPr>
          <w:rFonts w:hint="eastAsia" w:ascii="Times New Roman" w:hAnsi="Times New Roman" w:eastAsia="仿宋_GB2312" w:cs="Times New Roman"/>
          <w:color w:val="auto"/>
          <w:sz w:val="32"/>
          <w:szCs w:val="32"/>
          <w:lang w:val="en-US" w:eastAsia="zh-CN"/>
        </w:rPr>
        <w:t>动，</w:t>
      </w:r>
      <w:r>
        <w:rPr>
          <w:rFonts w:hint="default" w:ascii="Times New Roman" w:hAnsi="Times New Roman" w:eastAsia="仿宋_GB2312" w:cs="Times New Roman"/>
          <w:b w:val="0"/>
          <w:bCs w:val="0"/>
          <w:color w:val="auto"/>
          <w:kern w:val="2"/>
          <w:sz w:val="32"/>
          <w:szCs w:val="32"/>
          <w:lang w:eastAsia="zh-CN" w:bidi="ar-SA"/>
        </w:rPr>
        <w:t>积极探索建立法治建设民生观察制度，组织实施</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法治为民办实事</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项目。</w:t>
      </w:r>
      <w:r>
        <w:rPr>
          <w:rFonts w:hint="eastAsia" w:ascii="Times New Roman" w:hAnsi="Times New Roman" w:eastAsia="仿宋_GB2312" w:cs="Times New Roman"/>
          <w:b w:val="0"/>
          <w:bCs w:val="0"/>
          <w:color w:val="auto"/>
          <w:kern w:val="2"/>
          <w:sz w:val="32"/>
          <w:szCs w:val="32"/>
          <w:lang w:val="en-US" w:eastAsia="zh-CN" w:bidi="ar-SA"/>
        </w:rPr>
        <w:t>积极参与全国法治政府建设示范创建，针对性开展示范地区、示范项目争创工作。积极搭建政府立法基层联系点工作体系，进一步</w:t>
      </w:r>
      <w:r>
        <w:rPr>
          <w:rFonts w:hint="default" w:ascii="Times New Roman" w:hAnsi="Times New Roman" w:eastAsia="仿宋_GB2312" w:cs="Times New Roman"/>
          <w:b w:val="0"/>
          <w:bCs w:val="0"/>
          <w:color w:val="auto"/>
          <w:kern w:val="2"/>
          <w:sz w:val="32"/>
          <w:szCs w:val="32"/>
          <w:lang w:val="en-US" w:eastAsia="zh-CN" w:bidi="ar-SA"/>
        </w:rPr>
        <w:t>完善重大</w:t>
      </w:r>
      <w:r>
        <w:rPr>
          <w:rFonts w:hint="eastAsia" w:ascii="Times New Roman" w:hAnsi="Times New Roman" w:eastAsia="仿宋_GB2312" w:cs="Times New Roman"/>
          <w:b w:val="0"/>
          <w:bCs w:val="0"/>
          <w:color w:val="auto"/>
          <w:kern w:val="2"/>
          <w:sz w:val="32"/>
          <w:szCs w:val="32"/>
          <w:lang w:val="en-US" w:eastAsia="zh-CN" w:bidi="ar-SA"/>
        </w:rPr>
        <w:t>行政</w:t>
      </w:r>
      <w:r>
        <w:rPr>
          <w:rFonts w:hint="default" w:ascii="Times New Roman" w:hAnsi="Times New Roman" w:eastAsia="仿宋_GB2312" w:cs="Times New Roman"/>
          <w:b w:val="0"/>
          <w:bCs w:val="0"/>
          <w:color w:val="auto"/>
          <w:kern w:val="2"/>
          <w:sz w:val="32"/>
          <w:szCs w:val="32"/>
          <w:lang w:val="en-US" w:eastAsia="zh-CN" w:bidi="ar-SA"/>
        </w:rPr>
        <w:t>决策、</w:t>
      </w:r>
      <w:r>
        <w:rPr>
          <w:rFonts w:hint="eastAsia" w:ascii="Times New Roman" w:hAnsi="Times New Roman" w:eastAsia="仿宋_GB2312" w:cs="Times New Roman"/>
          <w:b w:val="0"/>
          <w:bCs w:val="0"/>
          <w:color w:val="auto"/>
          <w:kern w:val="2"/>
          <w:sz w:val="32"/>
          <w:szCs w:val="32"/>
          <w:lang w:val="en-US" w:eastAsia="zh-CN" w:bidi="ar-SA"/>
        </w:rPr>
        <w:t>行政</w:t>
      </w:r>
      <w:r>
        <w:rPr>
          <w:rFonts w:hint="default" w:ascii="Times New Roman" w:hAnsi="Times New Roman" w:eastAsia="仿宋_GB2312" w:cs="Times New Roman"/>
          <w:b w:val="0"/>
          <w:bCs w:val="0"/>
          <w:color w:val="auto"/>
          <w:kern w:val="2"/>
          <w:sz w:val="32"/>
          <w:szCs w:val="32"/>
          <w:lang w:val="en-US" w:eastAsia="zh-CN" w:bidi="ar-SA"/>
        </w:rPr>
        <w:t>规范性文件合法性审查机制</w:t>
      </w:r>
      <w:r>
        <w:rPr>
          <w:rFonts w:hint="eastAsia" w:ascii="Times New Roman" w:hAnsi="Times New Roman" w:eastAsia="仿宋_GB2312" w:cs="Times New Roman"/>
          <w:b w:val="0"/>
          <w:bCs w:val="0"/>
          <w:color w:val="auto"/>
          <w:kern w:val="2"/>
          <w:sz w:val="32"/>
          <w:szCs w:val="32"/>
          <w:lang w:val="en-US" w:eastAsia="zh-CN" w:bidi="ar-SA"/>
        </w:rPr>
        <w:t>，全面实行行政规范性文件“三统一”制度</w:t>
      </w:r>
    </w:p>
    <w:p w14:paraId="1F446C2D">
      <w:pPr>
        <w:pStyle w:val="5"/>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left="0" w:leftChars="0" w:firstLine="643" w:firstLineChars="200"/>
        <w:jc w:val="left"/>
        <w:textAlignment w:val="baseline"/>
        <w:rPr>
          <w:rFonts w:hint="eastAsia" w:ascii="仿宋" w:hAnsi="仿宋" w:eastAsia="楷体_GB2312" w:cs="楷体_GB2312"/>
          <w:b/>
          <w:bCs/>
          <w:i w:val="0"/>
          <w:caps w:val="0"/>
          <w:spacing w:val="0"/>
          <w:w w:val="100"/>
          <w:sz w:val="32"/>
          <w:szCs w:val="32"/>
        </w:rPr>
      </w:pPr>
      <w:r>
        <w:rPr>
          <w:rFonts w:hint="eastAsia" w:ascii="仿宋" w:hAnsi="仿宋" w:eastAsia="楷体_GB2312" w:cs="楷体_GB2312"/>
          <w:b/>
          <w:bCs/>
          <w:i w:val="0"/>
          <w:caps w:val="0"/>
          <w:spacing w:val="0"/>
          <w:w w:val="100"/>
          <w:sz w:val="32"/>
          <w:szCs w:val="32"/>
          <w:lang w:eastAsia="zh-CN"/>
        </w:rPr>
        <w:t>（三）持续推进</w:t>
      </w:r>
      <w:r>
        <w:rPr>
          <w:rFonts w:hint="eastAsia" w:ascii="仿宋" w:hAnsi="仿宋" w:eastAsia="楷体_GB2312" w:cs="楷体_GB2312"/>
          <w:b/>
          <w:bCs/>
          <w:i w:val="0"/>
          <w:caps w:val="0"/>
          <w:spacing w:val="0"/>
          <w:w w:val="100"/>
          <w:sz w:val="32"/>
          <w:szCs w:val="32"/>
        </w:rPr>
        <w:t>法律服务</w:t>
      </w:r>
      <w:r>
        <w:rPr>
          <w:rFonts w:hint="eastAsia" w:ascii="仿宋" w:hAnsi="仿宋" w:eastAsia="楷体_GB2312" w:cs="楷体_GB2312"/>
          <w:b/>
          <w:bCs/>
          <w:i w:val="0"/>
          <w:caps w:val="0"/>
          <w:spacing w:val="0"/>
          <w:w w:val="100"/>
          <w:sz w:val="32"/>
          <w:szCs w:val="32"/>
          <w:lang w:eastAsia="zh-CN"/>
        </w:rPr>
        <w:t>优化</w:t>
      </w:r>
    </w:p>
    <w:p w14:paraId="1A521291">
      <w:pPr>
        <w:pStyle w:val="5"/>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left="0" w:leftChars="0" w:firstLine="640" w:firstLineChars="200"/>
        <w:jc w:val="left"/>
        <w:textAlignment w:val="baseline"/>
        <w:rPr>
          <w:rFonts w:hint="eastAsia" w:ascii="仿宋" w:hAnsi="仿宋" w:eastAsia="仿宋_GB2312" w:cs="Times New Roman"/>
          <w:b w:val="0"/>
          <w:bCs/>
          <w:i w:val="0"/>
          <w:caps w:val="0"/>
          <w:spacing w:val="0"/>
          <w:w w:val="100"/>
          <w:kern w:val="0"/>
          <w:sz w:val="32"/>
          <w:szCs w:val="32"/>
          <w:lang w:eastAsia="zh-CN"/>
        </w:rPr>
      </w:pPr>
      <w:r>
        <w:rPr>
          <w:rFonts w:hint="eastAsia" w:ascii="仿宋" w:hAnsi="仿宋" w:eastAsia="仿宋_GB2312" w:cs="Times New Roman"/>
          <w:sz w:val="32"/>
          <w:szCs w:val="32"/>
          <w:lang w:val="en-US" w:eastAsia="zh-CN"/>
        </w:rPr>
        <w:t>推进</w:t>
      </w:r>
      <w:r>
        <w:rPr>
          <w:rFonts w:hint="default" w:ascii="仿宋" w:hAnsi="仿宋" w:eastAsia="仿宋_GB2312" w:cs="Times New Roman"/>
          <w:sz w:val="32"/>
          <w:szCs w:val="32"/>
          <w:lang w:val="en-US" w:eastAsia="zh-CN"/>
        </w:rPr>
        <w:t>公共</w:t>
      </w:r>
      <w:r>
        <w:rPr>
          <w:rFonts w:hint="default" w:ascii="仿宋" w:hAnsi="仿宋" w:eastAsia="仿宋_GB2312" w:cs="Times New Roman"/>
          <w:b w:val="0"/>
          <w:bCs/>
          <w:kern w:val="0"/>
          <w:sz w:val="32"/>
          <w:szCs w:val="32"/>
          <w:lang w:eastAsia="zh-CN"/>
        </w:rPr>
        <w:t>法律服务标准体系</w:t>
      </w:r>
      <w:r>
        <w:rPr>
          <w:rFonts w:hint="eastAsia" w:ascii="仿宋" w:hAnsi="仿宋" w:eastAsia="仿宋_GB2312" w:cs="Times New Roman"/>
          <w:b w:val="0"/>
          <w:bCs/>
          <w:kern w:val="0"/>
          <w:sz w:val="32"/>
          <w:szCs w:val="32"/>
          <w:lang w:eastAsia="zh-CN"/>
        </w:rPr>
        <w:t>建设</w:t>
      </w:r>
      <w:r>
        <w:rPr>
          <w:rFonts w:hint="default" w:ascii="仿宋" w:hAnsi="仿宋" w:eastAsia="仿宋_GB2312" w:cs="Times New Roman"/>
          <w:b w:val="0"/>
          <w:bCs/>
          <w:kern w:val="0"/>
          <w:sz w:val="32"/>
          <w:szCs w:val="32"/>
          <w:lang w:eastAsia="zh-CN"/>
        </w:rPr>
        <w:t>，</w:t>
      </w:r>
      <w:r>
        <w:rPr>
          <w:rFonts w:hint="eastAsia" w:ascii="仿宋" w:hAnsi="仿宋" w:eastAsia="仿宋_GB2312" w:cs="Times New Roman"/>
          <w:b w:val="0"/>
          <w:bCs/>
          <w:i w:val="0"/>
          <w:caps w:val="0"/>
          <w:spacing w:val="0"/>
          <w:w w:val="100"/>
          <w:kern w:val="0"/>
          <w:sz w:val="32"/>
          <w:szCs w:val="32"/>
          <w:lang w:val="en-US" w:eastAsia="zh-CN"/>
        </w:rPr>
        <w:t>打造市公共法律服务中心，推进各项法律服务进驻公共法律服务平台，完成公共法律服务体系建设中期考核。以“乡村振兴 法治同行”活动为重要抓手，大力推进乡村公共法律服务体系建设，促进城乡公共法律服务资源更加平衡。继续坚持高起点谋划、高标准推进、高质量落实2025年度法律职业资格考试工作。切实推进我市公证机构和司法鉴定机构的业务建设，规范公证、司法鉴定业务受理全过程和各流程，落实质量管控措施，扎实推进公证和司法鉴定行业人才队伍建设。坚持“人为本、和为贵”的仲裁理念，不断加大仲裁案件调处力度，推行立案“一次性告知”制度，推进“互联网+仲裁”，实现庭审“不见面”、交流“面对面”的零距离审理。加强法律援助品牌建设，全面推进刑事法律援助工作，不断提高法律援助服务质量。大力</w:t>
      </w:r>
      <w:r>
        <w:rPr>
          <w:rFonts w:hint="eastAsia" w:ascii="仿宋" w:hAnsi="仿宋" w:eastAsia="仿宋_GB2312" w:cs="仿宋_GB2312"/>
          <w:b w:val="0"/>
          <w:i w:val="0"/>
          <w:caps w:val="0"/>
          <w:spacing w:val="0"/>
          <w:w w:val="100"/>
          <w:sz w:val="32"/>
          <w:szCs w:val="32"/>
        </w:rPr>
        <w:t>推进“互联网+”公共法律服务</w:t>
      </w:r>
      <w:r>
        <w:rPr>
          <w:rFonts w:hint="eastAsia" w:ascii="仿宋" w:hAnsi="仿宋" w:eastAsia="仿宋_GB2312" w:cs="仿宋_GB2312"/>
          <w:b w:val="0"/>
          <w:i w:val="0"/>
          <w:caps w:val="0"/>
          <w:spacing w:val="0"/>
          <w:w w:val="100"/>
          <w:sz w:val="32"/>
          <w:szCs w:val="32"/>
          <w:lang w:eastAsia="zh-CN"/>
        </w:rPr>
        <w:t>，为人民群众提供及时、精准、普惠的公共法律服务。</w:t>
      </w:r>
    </w:p>
    <w:p w14:paraId="0B54172F">
      <w:pPr>
        <w:pStyle w:val="5"/>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left="0" w:leftChars="0" w:firstLine="643" w:firstLineChars="200"/>
        <w:jc w:val="left"/>
        <w:textAlignment w:val="baseline"/>
        <w:rPr>
          <w:rFonts w:hint="eastAsia" w:ascii="仿宋" w:hAnsi="仿宋" w:eastAsia="楷体_GB2312" w:cs="楷体_GB2312"/>
          <w:b/>
          <w:bCs/>
          <w:i w:val="0"/>
          <w:caps w:val="0"/>
          <w:spacing w:val="0"/>
          <w:w w:val="100"/>
          <w:sz w:val="32"/>
          <w:szCs w:val="32"/>
          <w:lang w:eastAsia="zh-CN"/>
        </w:rPr>
      </w:pPr>
      <w:r>
        <w:rPr>
          <w:rFonts w:hint="eastAsia" w:ascii="仿宋" w:hAnsi="仿宋" w:eastAsia="楷体_GB2312" w:cs="楷体_GB2312"/>
          <w:b/>
          <w:bCs/>
          <w:i w:val="0"/>
          <w:caps w:val="0"/>
          <w:spacing w:val="0"/>
          <w:w w:val="100"/>
          <w:sz w:val="32"/>
          <w:szCs w:val="32"/>
          <w:lang w:eastAsia="zh-CN"/>
        </w:rPr>
        <w:t>（四）持续推进矛盾纠纷多元化解</w:t>
      </w:r>
    </w:p>
    <w:p w14:paraId="40CA70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 w:hAnsi="仿宋" w:eastAsia="仿宋_GB2312" w:cs="仿宋_GB2312"/>
          <w:b/>
          <w:bCs/>
          <w:i w:val="0"/>
          <w:caps w:val="0"/>
          <w:color w:val="000000"/>
          <w:spacing w:val="0"/>
          <w:w w:val="100"/>
          <w:sz w:val="32"/>
          <w:szCs w:val="32"/>
          <w:lang w:eastAsia="zh-CN"/>
        </w:rPr>
      </w:pPr>
      <w:r>
        <w:rPr>
          <w:rFonts w:hint="default" w:ascii="Times New Roman" w:hAnsi="Times New Roman" w:eastAsia="仿宋_GB2312" w:cs="Times New Roman"/>
          <w:color w:val="auto"/>
          <w:sz w:val="32"/>
          <w:szCs w:val="32"/>
          <w:lang w:val="en-US" w:eastAsia="zh-CN"/>
        </w:rPr>
        <w:t>坚持</w:t>
      </w:r>
      <w:r>
        <w:rPr>
          <w:rFonts w:hint="eastAsia" w:ascii="Times New Roman" w:hAnsi="Times New Roman" w:eastAsia="仿宋_GB2312" w:cs="Times New Roman"/>
          <w:color w:val="auto"/>
          <w:sz w:val="32"/>
          <w:szCs w:val="32"/>
          <w:lang w:val="en-US" w:eastAsia="zh-CN"/>
        </w:rPr>
        <w:t>和</w:t>
      </w:r>
      <w:r>
        <w:rPr>
          <w:rFonts w:hint="default" w:ascii="Times New Roman" w:hAnsi="Times New Roman" w:eastAsia="仿宋_GB2312" w:cs="Times New Roman"/>
          <w:color w:val="auto"/>
          <w:sz w:val="32"/>
          <w:szCs w:val="32"/>
          <w:lang w:val="en-US" w:eastAsia="zh-CN"/>
        </w:rPr>
        <w:t>发展新时代枫桥经验，</w:t>
      </w:r>
      <w:r>
        <w:rPr>
          <w:rFonts w:hint="eastAsia" w:ascii="仿宋_GB2312" w:hAnsi="仿宋_GB2312" w:eastAsia="仿宋_GB2312" w:cs="仿宋_GB2312"/>
          <w:b w:val="0"/>
          <w:bCs w:val="0"/>
          <w:color w:val="auto"/>
          <w:kern w:val="2"/>
          <w:sz w:val="32"/>
          <w:szCs w:val="32"/>
          <w:lang w:val="en-US" w:eastAsia="zh-CN" w:bidi="ar-SA"/>
        </w:rPr>
        <w:t>持续推广“一杯茶”调解法，打造</w:t>
      </w:r>
      <w:r>
        <w:rPr>
          <w:rFonts w:hint="eastAsia" w:ascii="仿宋_GB2312" w:hAnsi="仿宋_GB2312" w:eastAsia="仿宋_GB2312" w:cs="仿宋_GB2312"/>
          <w:color w:val="auto"/>
          <w:spacing w:val="16"/>
          <w:sz w:val="32"/>
          <w:szCs w:val="32"/>
          <w:lang w:val="en-US" w:eastAsia="zh-CN"/>
        </w:rPr>
        <w:t>“一杯茶”调解理念教育基地和以“一杯茶”调解法为主的调解文化主题公园。深入推进“排查风险隐患 维护社会稳定”专项治理，组织开展“淮心相印 和合解纷”矛盾纠纷排查化解行动，实施“茶韵和鸣 智启群英”调解员能力提升项</w:t>
      </w:r>
      <w:r>
        <w:rPr>
          <w:rFonts w:hint="eastAsia" w:ascii="仿宋" w:hAnsi="仿宋" w:eastAsia="仿宋" w:cs="仿宋"/>
          <w:b w:val="0"/>
          <w:bCs w:val="0"/>
          <w:color w:val="auto"/>
          <w:sz w:val="32"/>
          <w:szCs w:val="32"/>
          <w:lang w:val="en-US" w:eastAsia="zh-CN"/>
        </w:rPr>
        <w:t>目。建设“一站式”解纷体系，建立健全群众诉求即收即办机制，实现矛盾纠纷化解“一窗受理”“一地办理”</w:t>
      </w:r>
      <w:r>
        <w:rPr>
          <w:rFonts w:hint="eastAsia" w:ascii="仿宋" w:hAnsi="仿宋" w:eastAsia="仿宋" w:cs="仿宋"/>
          <w:b w:val="0"/>
          <w:bCs w:val="0"/>
          <w:color w:val="auto"/>
          <w:sz w:val="32"/>
          <w:szCs w:val="32"/>
        </w:rPr>
        <w:t>。</w:t>
      </w:r>
    </w:p>
    <w:p w14:paraId="3B3126B0">
      <w:pPr>
        <w:pStyle w:val="5"/>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left="0" w:leftChars="0" w:firstLine="643" w:firstLineChars="200"/>
        <w:jc w:val="left"/>
        <w:textAlignment w:val="baseline"/>
        <w:rPr>
          <w:rFonts w:hint="eastAsia" w:ascii="仿宋" w:hAnsi="仿宋" w:eastAsia="楷体_GB2312" w:cs="楷体_GB2312"/>
          <w:b/>
          <w:bCs/>
          <w:i w:val="0"/>
          <w:caps w:val="0"/>
          <w:spacing w:val="0"/>
          <w:w w:val="100"/>
          <w:sz w:val="32"/>
          <w:szCs w:val="32"/>
          <w:lang w:eastAsia="zh-CN"/>
        </w:rPr>
      </w:pPr>
      <w:r>
        <w:rPr>
          <w:rFonts w:hint="eastAsia" w:ascii="仿宋" w:hAnsi="仿宋" w:eastAsia="楷体_GB2312" w:cs="楷体_GB2312"/>
          <w:b/>
          <w:bCs/>
          <w:i w:val="0"/>
          <w:caps w:val="0"/>
          <w:spacing w:val="0"/>
          <w:w w:val="100"/>
          <w:sz w:val="32"/>
          <w:szCs w:val="32"/>
          <w:lang w:eastAsia="zh-CN"/>
        </w:rPr>
        <w:t>（五）持续推进社区矫正和安置帮教工作</w:t>
      </w:r>
    </w:p>
    <w:p w14:paraId="5F044C5D">
      <w:pPr>
        <w:keepNext w:val="0"/>
        <w:keepLines w:val="0"/>
        <w:pageBreakBefore w:val="0"/>
        <w:widowControl w:val="0"/>
        <w:kinsoku/>
        <w:wordWrap/>
        <w:overflowPunct/>
        <w:topLinePunct w:val="0"/>
        <w:autoSpaceDE/>
        <w:autoSpaceDN/>
        <w:bidi w:val="0"/>
        <w:adjustRightInd/>
        <w:spacing w:line="560" w:lineRule="exact"/>
        <w:ind w:left="0" w:leftChars="0" w:firstLine="640" w:firstLineChars="200"/>
        <w:rPr>
          <w:rFonts w:hint="eastAsia" w:ascii="仿宋" w:hAnsi="仿宋" w:eastAsia="仿宋" w:cs="仿宋"/>
          <w:sz w:val="32"/>
          <w:szCs w:val="32"/>
        </w:rPr>
      </w:pPr>
      <w:r>
        <w:rPr>
          <w:rFonts w:hint="default" w:ascii="仿宋" w:hAnsi="仿宋" w:eastAsia="仿宋_GB2312" w:cs="仿宋_GB2312"/>
          <w:sz w:val="32"/>
          <w:szCs w:val="32"/>
          <w:lang w:val="en-US" w:eastAsia="zh-CN"/>
        </w:rPr>
        <w:t>优化社区矫正队伍结构，将具备法学等专业知识的人员优先选配至社区矫正岗位</w:t>
      </w:r>
      <w:r>
        <w:rPr>
          <w:rFonts w:hint="eastAsia" w:ascii="仿宋" w:hAnsi="仿宋" w:eastAsia="仿宋_GB2312" w:cs="仿宋_GB2312"/>
          <w:sz w:val="32"/>
          <w:szCs w:val="32"/>
          <w:lang w:val="en-US" w:eastAsia="zh-CN"/>
        </w:rPr>
        <w:t>，</w:t>
      </w:r>
      <w:r>
        <w:rPr>
          <w:rFonts w:hint="eastAsia" w:ascii="仿宋" w:hAnsi="仿宋" w:eastAsia="仿宋" w:cs="仿宋"/>
          <w:sz w:val="32"/>
          <w:szCs w:val="32"/>
          <w:lang w:val="en-US" w:eastAsia="zh-CN"/>
        </w:rPr>
        <w:t>建立社区矫正社会工作者培养机制，提高社区矫正队伍稳定性。强化队伍教育培训，以实战实用实效为导向，提升社区矫正工作的专业化水平。进一步探索教育矫正新模式，深入推进社区矫正对象分类管理和个别化矫正试点工作。加强场所规范建设，实施社区矫正中心提档升级计划，着力打造设施齐备、功能健全、科学实用的执法工作平台。</w:t>
      </w:r>
      <w:r>
        <w:rPr>
          <w:rFonts w:hint="eastAsia" w:ascii="仿宋" w:hAnsi="仿宋" w:eastAsia="仿宋" w:cs="仿宋"/>
          <w:sz w:val="32"/>
          <w:szCs w:val="32"/>
        </w:rPr>
        <w:t>积极争创智慧矫正中心创建工作</w:t>
      </w:r>
      <w:r>
        <w:rPr>
          <w:rFonts w:hint="eastAsia" w:ascii="仿宋" w:hAnsi="仿宋" w:eastAsia="仿宋" w:cs="仿宋"/>
          <w:sz w:val="32"/>
          <w:szCs w:val="32"/>
          <w:lang w:eastAsia="zh-CN"/>
        </w:rPr>
        <w:t>，</w:t>
      </w:r>
      <w:r>
        <w:rPr>
          <w:rFonts w:hint="eastAsia" w:ascii="仿宋" w:hAnsi="仿宋" w:eastAsia="仿宋" w:cs="仿宋"/>
          <w:sz w:val="32"/>
          <w:szCs w:val="32"/>
        </w:rPr>
        <w:t>组织成立创建工作专班，对创建工作进行</w:t>
      </w:r>
      <w:r>
        <w:rPr>
          <w:rFonts w:hint="eastAsia" w:ascii="仿宋" w:hAnsi="仿宋" w:eastAsia="仿宋" w:cs="仿宋"/>
          <w:sz w:val="32"/>
          <w:szCs w:val="32"/>
          <w:lang w:eastAsia="zh-CN"/>
        </w:rPr>
        <w:t>指导督查</w:t>
      </w:r>
      <w:r>
        <w:rPr>
          <w:rFonts w:hint="eastAsia" w:ascii="仿宋" w:hAnsi="仿宋" w:eastAsia="仿宋" w:cs="仿宋"/>
          <w:sz w:val="32"/>
          <w:szCs w:val="32"/>
        </w:rPr>
        <w:t>，加强对工作的统筹协调</w:t>
      </w:r>
      <w:r>
        <w:rPr>
          <w:rFonts w:hint="eastAsia" w:ascii="仿宋" w:hAnsi="仿宋" w:eastAsia="仿宋" w:cs="仿宋"/>
          <w:sz w:val="32"/>
          <w:szCs w:val="32"/>
          <w:lang w:eastAsia="zh-CN"/>
        </w:rPr>
        <w:t>，</w:t>
      </w:r>
      <w:r>
        <w:rPr>
          <w:rFonts w:hint="eastAsia" w:ascii="仿宋" w:hAnsi="仿宋" w:eastAsia="仿宋" w:cs="仿宋"/>
          <w:sz w:val="32"/>
          <w:szCs w:val="32"/>
        </w:rPr>
        <w:t>细化推进措施</w:t>
      </w:r>
      <w:r>
        <w:rPr>
          <w:rFonts w:hint="eastAsia" w:ascii="仿宋" w:hAnsi="仿宋" w:eastAsia="仿宋" w:cs="仿宋"/>
          <w:sz w:val="32"/>
          <w:szCs w:val="32"/>
          <w:lang w:val="en-US" w:eastAsia="zh-CN"/>
        </w:rPr>
        <w:t>。</w:t>
      </w:r>
      <w:r>
        <w:rPr>
          <w:rFonts w:hint="eastAsia" w:ascii="仿宋" w:hAnsi="仿宋" w:eastAsia="仿宋" w:cs="仿宋"/>
          <w:sz w:val="32"/>
          <w:szCs w:val="32"/>
        </w:rPr>
        <w:t>加强与公检法的衔接配合，定期召开联席会议，</w:t>
      </w:r>
      <w:r>
        <w:rPr>
          <w:rFonts w:hint="eastAsia" w:ascii="仿宋" w:hAnsi="仿宋" w:eastAsia="仿宋" w:cs="仿宋"/>
          <w:sz w:val="32"/>
          <w:szCs w:val="32"/>
          <w:lang w:val="en-US" w:eastAsia="zh-CN"/>
        </w:rPr>
        <w:t>规范社区矫正调查评估和交付衔接工作，坚决杜绝脱管、漏管现象发生</w:t>
      </w:r>
      <w:r>
        <w:rPr>
          <w:rFonts w:hint="eastAsia" w:ascii="仿宋" w:hAnsi="仿宋" w:eastAsia="仿宋" w:cs="仿宋"/>
          <w:sz w:val="32"/>
          <w:szCs w:val="32"/>
        </w:rPr>
        <w:t>。</w:t>
      </w:r>
      <w:r>
        <w:rPr>
          <w:rFonts w:hint="eastAsia" w:ascii="仿宋" w:hAnsi="仿宋" w:eastAsia="仿宋_GB2312" w:cs="仿宋_GB2312"/>
          <w:b w:val="0"/>
          <w:bCs w:val="0"/>
          <w:color w:val="auto"/>
          <w:sz w:val="32"/>
          <w:szCs w:val="32"/>
          <w:lang w:val="en-US" w:eastAsia="zh-CN"/>
        </w:rPr>
        <w:t>加强社会适应性帮扶，</w:t>
      </w:r>
      <w:r>
        <w:rPr>
          <w:rFonts w:hint="eastAsia" w:ascii="仿宋" w:hAnsi="仿宋" w:eastAsia="仿宋_GB2312" w:cs="仿宋_GB2312"/>
          <w:color w:val="auto"/>
          <w:sz w:val="32"/>
          <w:szCs w:val="32"/>
          <w:lang w:val="en-US" w:eastAsia="zh-CN"/>
        </w:rPr>
        <w:t>协调相关部门落实帮扶政策，帮助社区矫正对象解决就业就学、临时救助、生活保障等实际困难，</w:t>
      </w:r>
      <w:r>
        <w:rPr>
          <w:rFonts w:hint="eastAsia" w:ascii="仿宋" w:hAnsi="仿宋" w:eastAsia="仿宋" w:cs="仿宋"/>
          <w:sz w:val="32"/>
          <w:szCs w:val="32"/>
        </w:rPr>
        <w:t>提升社会适应性帮扶的质量和效能。</w:t>
      </w:r>
    </w:p>
    <w:p w14:paraId="0B9A87F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3" w:firstLineChars="200"/>
        <w:jc w:val="both"/>
        <w:textAlignment w:val="baseline"/>
        <w:rPr>
          <w:rFonts w:hint="eastAsia" w:ascii="仿宋" w:hAnsi="仿宋" w:eastAsia="楷体_GB2312" w:cs="楷体_GB2312"/>
          <w:b/>
          <w:bCs/>
          <w:i w:val="0"/>
          <w:caps w:val="0"/>
          <w:spacing w:val="0"/>
          <w:w w:val="100"/>
          <w:sz w:val="32"/>
          <w:szCs w:val="32"/>
        </w:rPr>
      </w:pPr>
      <w:r>
        <w:rPr>
          <w:rFonts w:hint="eastAsia" w:ascii="仿宋" w:hAnsi="仿宋" w:eastAsia="楷体_GB2312" w:cs="楷体_GB2312"/>
          <w:b/>
          <w:bCs/>
          <w:i w:val="0"/>
          <w:caps w:val="0"/>
          <w:spacing w:val="0"/>
          <w:w w:val="100"/>
          <w:sz w:val="32"/>
          <w:szCs w:val="32"/>
          <w:lang w:eastAsia="zh-CN"/>
        </w:rPr>
        <w:t>（六）持续推进</w:t>
      </w:r>
      <w:r>
        <w:rPr>
          <w:rFonts w:hint="eastAsia" w:ascii="仿宋" w:hAnsi="仿宋" w:eastAsia="楷体_GB2312" w:cs="楷体_GB2312"/>
          <w:b/>
          <w:bCs/>
          <w:i w:val="0"/>
          <w:caps w:val="0"/>
          <w:spacing w:val="0"/>
          <w:w w:val="100"/>
          <w:sz w:val="32"/>
          <w:szCs w:val="32"/>
        </w:rPr>
        <w:t>法治宣传教育</w:t>
      </w:r>
    </w:p>
    <w:p w14:paraId="0117D902">
      <w:pPr>
        <w:pStyle w:val="7"/>
        <w:adjustRightInd w:val="0"/>
        <w:snapToGrid w:val="0"/>
        <w:spacing w:line="560" w:lineRule="exact"/>
        <w:ind w:firstLine="627" w:firstLineChars="196"/>
        <w:rPr>
          <w:rFonts w:ascii="仿宋" w:hAnsi="仿宋" w:eastAsia="仿宋_GB2312" w:cs="TimesNewRoman"/>
          <w:bCs/>
          <w:sz w:val="32"/>
          <w:szCs w:val="32"/>
        </w:rPr>
      </w:pPr>
      <w:r>
        <w:rPr>
          <w:rFonts w:hint="eastAsia" w:ascii="仿宋" w:hAnsi="仿宋" w:eastAsia="仿宋_GB2312" w:cs="仿宋_GB2312"/>
          <w:sz w:val="32"/>
          <w:szCs w:val="32"/>
        </w:rPr>
        <w:t>进一步健全完善党委领导、政府实施、人大政协监督、部门齐抓共管、社会力量参与的“大普法”工作机制，把法治宣传教育工作纳入经济社会发展规划，纳入各级领导班子和领导干部工作实绩考核。督促党政主要负责人履行普法教育第一责任人的职责，督促各级</w:t>
      </w:r>
      <w:r>
        <w:rPr>
          <w:rFonts w:hint="eastAsia" w:ascii="仿宋" w:hAnsi="仿宋" w:eastAsia="仿宋_GB2312" w:cs="仿宋_GB2312"/>
          <w:sz w:val="32"/>
          <w:szCs w:val="32"/>
          <w:lang w:eastAsia="zh-CN"/>
        </w:rPr>
        <w:t>法宣</w:t>
      </w:r>
      <w:r>
        <w:rPr>
          <w:rFonts w:hint="eastAsia" w:ascii="仿宋" w:hAnsi="仿宋" w:eastAsia="仿宋_GB2312" w:cs="仿宋_GB2312"/>
          <w:sz w:val="32"/>
          <w:szCs w:val="32"/>
        </w:rPr>
        <w:t>工作领导</w:t>
      </w:r>
      <w:r>
        <w:rPr>
          <w:rFonts w:hint="eastAsia" w:ascii="仿宋" w:hAnsi="仿宋" w:eastAsia="仿宋_GB2312" w:cs="仿宋_GB2312"/>
          <w:sz w:val="32"/>
          <w:szCs w:val="32"/>
          <w:lang w:eastAsia="zh-CN"/>
        </w:rPr>
        <w:t>小</w:t>
      </w:r>
      <w:r>
        <w:rPr>
          <w:rFonts w:hint="eastAsia" w:ascii="仿宋" w:hAnsi="仿宋" w:eastAsia="仿宋_GB2312" w:cs="仿宋_GB2312"/>
          <w:sz w:val="32"/>
          <w:szCs w:val="32"/>
        </w:rPr>
        <w:t>组办公室提高法治宣传教育工作的科学性、针对性和实效性</w:t>
      </w:r>
      <w:r>
        <w:rPr>
          <w:rFonts w:hint="eastAsia" w:ascii="仿宋" w:hAnsi="仿宋" w:eastAsia="仿宋_GB2312" w:cs="仿宋_GB2312"/>
          <w:b w:val="0"/>
          <w:bCs w:val="0"/>
          <w:i w:val="0"/>
          <w:caps w:val="0"/>
          <w:spacing w:val="0"/>
          <w:w w:val="100"/>
          <w:sz w:val="32"/>
          <w:szCs w:val="32"/>
          <w:lang w:eastAsia="zh-CN"/>
        </w:rPr>
        <w:t>，认真落实“谁执法谁普法”普法责任制。完善日常学法制度，定期组织法治讲座、法治论坛、法治研讨等，深入推动经常性学法。开展以案释法、旁听庭审、警示教育等活动，增强国家工作人员学法的覆盖面和吸引力。加强法治培训，把法治教育纳入国家工作人员入职培训、晋职培训的必训内容，确保法治培训课时数量和培训质量。</w:t>
      </w:r>
      <w:r>
        <w:rPr>
          <w:rFonts w:hint="eastAsia" w:ascii="仿宋" w:hAnsi="仿宋" w:eastAsia="仿宋_GB2312" w:cs="仿宋_GB2312"/>
          <w:sz w:val="32"/>
          <w:szCs w:val="32"/>
        </w:rPr>
        <w:t>进一步深化部门、行业、基层组织依法治理工作，开展法治</w:t>
      </w:r>
      <w:r>
        <w:rPr>
          <w:rFonts w:hint="eastAsia" w:ascii="仿宋" w:hAnsi="仿宋" w:eastAsia="仿宋_GB2312" w:cs="仿宋_GB2312"/>
          <w:sz w:val="32"/>
          <w:szCs w:val="32"/>
          <w:lang w:eastAsia="zh-CN"/>
        </w:rPr>
        <w:t>县</w:t>
      </w:r>
      <w:r>
        <w:rPr>
          <w:rFonts w:hint="eastAsia" w:ascii="仿宋" w:hAnsi="仿宋" w:eastAsia="仿宋_GB2312" w:cs="仿宋_GB2312"/>
          <w:sz w:val="32"/>
          <w:szCs w:val="32"/>
        </w:rPr>
        <w:t>(区)、依法行政示范单位、民主法治示范村(社区)等创建活动，总结推广经验，建立健全制度。围绕社会热点难点问题和社会管理薄弱环节，开展法治宣传教育和专项治理活动，营造浓厚的人人崇法、人心思法、全民守法的社会氛围。</w:t>
      </w:r>
    </w:p>
    <w:p w14:paraId="00A042D7"/>
    <w:p w14:paraId="0FFDCFA1">
      <w:pPr>
        <w:pStyle w:val="7"/>
        <w:adjustRightInd w:val="0"/>
        <w:snapToGrid w:val="0"/>
        <w:spacing w:line="560" w:lineRule="exact"/>
        <w:jc w:val="center"/>
        <w:rPr>
          <w:rFonts w:ascii="TimesNewRoman" w:hAnsi="TimesNewRoman" w:eastAsia="黑体" w:cs="TimesNewRoman"/>
          <w:bCs/>
          <w:sz w:val="36"/>
          <w:szCs w:val="36"/>
        </w:rPr>
      </w:pPr>
      <w:r>
        <w:rPr>
          <w:rFonts w:hint="eastAsia" w:ascii="TimesNewRoman" w:hAnsi="TimesNewRoman" w:eastAsia="黑体" w:cs="TimesNewRoman"/>
          <w:bCs/>
          <w:sz w:val="36"/>
          <w:szCs w:val="36"/>
        </w:rPr>
        <w:t>第二部分 2025年单位预算表</w:t>
      </w:r>
    </w:p>
    <w:p w14:paraId="70D27DFB">
      <w:pPr>
        <w:pStyle w:val="7"/>
        <w:adjustRightInd w:val="0"/>
        <w:snapToGrid w:val="0"/>
        <w:spacing w:line="560" w:lineRule="exact"/>
        <w:ind w:firstLine="627" w:firstLineChars="196"/>
        <w:jc w:val="center"/>
        <w:rPr>
          <w:rFonts w:ascii="TimesNewRoman" w:hAnsi="TimesNewRoman" w:eastAsia="仿宋_GB2312" w:cs="TimesNewRoman"/>
          <w:bCs/>
          <w:sz w:val="32"/>
          <w:szCs w:val="32"/>
        </w:rPr>
      </w:pPr>
      <w:r>
        <w:rPr>
          <w:rFonts w:hint="eastAsia" w:ascii="TimesNewRoman" w:hAnsi="TimesNewRoman" w:eastAsia="仿宋_GB2312" w:cs="TimesNewRoman"/>
          <w:bCs/>
          <w:sz w:val="32"/>
          <w:szCs w:val="32"/>
        </w:rPr>
        <w:t>见附件1-2</w:t>
      </w:r>
    </w:p>
    <w:p w14:paraId="1A9BE336">
      <w:r>
        <w:t xml:space="preserve">                                        </w:t>
      </w:r>
    </w:p>
    <w:p w14:paraId="61A1CDFF">
      <w:pPr>
        <w:pStyle w:val="7"/>
        <w:adjustRightInd w:val="0"/>
        <w:snapToGrid w:val="0"/>
        <w:spacing w:line="560" w:lineRule="exact"/>
        <w:jc w:val="center"/>
        <w:rPr>
          <w:rFonts w:hint="eastAsia" w:ascii="TimesNewRoman" w:hAnsi="TimesNewRoman" w:eastAsia="黑体" w:cs="TimesNewRoman"/>
          <w:bCs/>
          <w:sz w:val="36"/>
          <w:szCs w:val="36"/>
        </w:rPr>
      </w:pPr>
    </w:p>
    <w:p w14:paraId="044A6C18">
      <w:pPr>
        <w:pStyle w:val="7"/>
        <w:adjustRightInd w:val="0"/>
        <w:snapToGrid w:val="0"/>
        <w:spacing w:line="560" w:lineRule="exact"/>
        <w:jc w:val="center"/>
        <w:rPr>
          <w:rFonts w:ascii="TimesNewRoman" w:hAnsi="TimesNewRoman" w:eastAsia="黑体" w:cs="TimesNewRoman"/>
          <w:bCs/>
          <w:sz w:val="36"/>
          <w:szCs w:val="36"/>
        </w:rPr>
      </w:pPr>
      <w:r>
        <w:rPr>
          <w:rFonts w:hint="eastAsia" w:ascii="TimesNewRoman" w:hAnsi="TimesNewRoman" w:eastAsia="黑体" w:cs="TimesNewRoman"/>
          <w:bCs/>
          <w:sz w:val="36"/>
          <w:szCs w:val="36"/>
        </w:rPr>
        <w:t>第三部分 2025年单位预算情况说明</w:t>
      </w:r>
    </w:p>
    <w:p w14:paraId="01C4DA33"/>
    <w:p w14:paraId="241C7293">
      <w:pPr>
        <w:pStyle w:val="7"/>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一、关于2025年收支总表的说明</w:t>
      </w:r>
    </w:p>
    <w:p w14:paraId="5A10033A">
      <w:pPr>
        <w:pStyle w:val="7"/>
        <w:adjustRightInd w:val="0"/>
        <w:snapToGrid w:val="0"/>
        <w:spacing w:line="560" w:lineRule="exact"/>
        <w:ind w:firstLine="627" w:firstLineChars="196"/>
        <w:rPr>
          <w:rFonts w:ascii="TimesNewRoman" w:hAnsi="TimesNewRoman" w:eastAsia="仿宋_GB2312" w:cs="TimesNewRoman"/>
          <w:sz w:val="32"/>
          <w:szCs w:val="32"/>
        </w:rPr>
      </w:pPr>
      <w:r>
        <w:rPr>
          <w:rFonts w:hint="eastAsia" w:ascii="TimesNewRoman" w:hAnsi="TimesNewRoman" w:eastAsia="仿宋_GB2312" w:cs="TimesNewRoman"/>
          <w:sz w:val="32"/>
          <w:szCs w:val="32"/>
        </w:rPr>
        <w:t>按照综合预算的原则，</w:t>
      </w:r>
      <w:r>
        <w:rPr>
          <w:rFonts w:hint="eastAsia" w:ascii="TimesNewRoman" w:hAnsi="TimesNewRoman" w:eastAsia="仿宋_GB2312" w:cs="TimesNewRoman"/>
          <w:sz w:val="32"/>
          <w:szCs w:val="32"/>
          <w:lang w:eastAsia="zh-CN"/>
        </w:rPr>
        <w:t>淮北市司法局</w:t>
      </w:r>
      <w:r>
        <w:rPr>
          <w:rFonts w:hint="eastAsia" w:ascii="TimesNewRoman" w:hAnsi="TimesNewRoman" w:eastAsia="仿宋_GB2312" w:cs="TimesNewRoman"/>
          <w:sz w:val="32"/>
          <w:szCs w:val="32"/>
        </w:rPr>
        <w:t>所有收入和支出均纳入单位预算管理。</w:t>
      </w:r>
      <w:r>
        <w:rPr>
          <w:rFonts w:hint="eastAsia" w:ascii="TimesNewRoman" w:hAnsi="TimesNewRoman" w:eastAsia="仿宋_GB2312" w:cs="TimesNewRoman"/>
          <w:sz w:val="32"/>
          <w:szCs w:val="32"/>
          <w:lang w:eastAsia="zh-CN"/>
        </w:rPr>
        <w:t>淮北市司法局</w:t>
      </w:r>
      <w:r>
        <w:rPr>
          <w:rFonts w:hint="eastAsia" w:ascii="TimesNewRoman" w:hAnsi="TimesNewRoman" w:eastAsia="仿宋_GB2312" w:cs="TimesNewRoman"/>
          <w:sz w:val="32"/>
          <w:szCs w:val="32"/>
        </w:rPr>
        <w:t>2025年收支总预算</w:t>
      </w:r>
      <w:r>
        <w:rPr>
          <w:rFonts w:hint="eastAsia" w:ascii="TimesNewRoman" w:hAnsi="TimesNewRoman" w:eastAsia="仿宋_GB2312" w:cs="TimesNewRoman"/>
          <w:sz w:val="32"/>
          <w:szCs w:val="32"/>
          <w:lang w:val="en-US" w:eastAsia="zh-CN"/>
        </w:rPr>
        <w:t>1456.33</w:t>
      </w:r>
      <w:r>
        <w:rPr>
          <w:rFonts w:hint="eastAsia" w:ascii="TimesNewRoman" w:hAnsi="TimesNewRoman" w:eastAsia="仿宋_GB2312" w:cs="TimesNewRoman"/>
          <w:sz w:val="32"/>
          <w:szCs w:val="32"/>
        </w:rPr>
        <w:t>万元，收入</w:t>
      </w:r>
      <w:r>
        <w:rPr>
          <w:rFonts w:hint="eastAsia" w:ascii="TimesNewRoman" w:hAnsi="TimesNewRoman" w:eastAsia="仿宋_GB2312" w:cs="TimesNewRoman"/>
          <w:sz w:val="32"/>
          <w:szCs w:val="32"/>
          <w:lang w:val="en-US" w:eastAsia="zh-CN"/>
        </w:rPr>
        <w:t>全部为</w:t>
      </w:r>
      <w:r>
        <w:rPr>
          <w:rFonts w:hint="eastAsia" w:ascii="TimesNewRoman" w:hAnsi="TimesNewRoman" w:eastAsia="仿宋_GB2312" w:cs="TimesNewRoman"/>
          <w:sz w:val="32"/>
          <w:szCs w:val="32"/>
        </w:rPr>
        <w:t>一般公共预算拨款收入</w:t>
      </w:r>
      <w:r>
        <w:rPr>
          <w:rFonts w:hint="eastAsia" w:ascii="TimesNewRoman" w:hAnsi="TimesNewRoman" w:eastAsia="仿宋_GB2312" w:cs="TimesNewRoman"/>
          <w:sz w:val="32"/>
          <w:szCs w:val="32"/>
          <w:lang w:val="en-US" w:eastAsia="zh-CN"/>
        </w:rPr>
        <w:t>1456.33</w:t>
      </w:r>
      <w:r>
        <w:rPr>
          <w:rFonts w:hint="eastAsia" w:ascii="TimesNewRoman" w:hAnsi="TimesNewRoman" w:eastAsia="仿宋_GB2312" w:cs="TimesNewRoman"/>
          <w:sz w:val="32"/>
          <w:szCs w:val="32"/>
        </w:rPr>
        <w:t>万元，支出包括：</w:t>
      </w:r>
      <w:r>
        <w:rPr>
          <w:rFonts w:hint="eastAsia" w:ascii="TimesNewRoman" w:hAnsi="TimesNewRoman" w:eastAsia="仿宋_GB2312" w:cs="TimesNewRoman"/>
          <w:sz w:val="32"/>
          <w:szCs w:val="32"/>
          <w:lang w:val="en-US" w:eastAsia="zh-CN"/>
        </w:rPr>
        <w:t>公共安全支出</w:t>
      </w:r>
      <w:r>
        <w:rPr>
          <w:rFonts w:hint="eastAsia" w:ascii="TimesNewRoman" w:hAnsi="TimesNewRoman" w:eastAsia="仿宋_GB2312" w:cs="TimesNewRoman"/>
          <w:sz w:val="32"/>
          <w:szCs w:val="32"/>
        </w:rPr>
        <w:t>、社会保障和就业支出、卫生健康支出、住房保障支出。</w:t>
      </w:r>
    </w:p>
    <w:p w14:paraId="1663ED89">
      <w:pPr>
        <w:pStyle w:val="7"/>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二、关于2025年收入总表的说明</w:t>
      </w:r>
    </w:p>
    <w:p w14:paraId="529E4EC0">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eastAsia="zh-CN"/>
        </w:rPr>
        <w:t>淮北市司法局</w:t>
      </w:r>
      <w:r>
        <w:rPr>
          <w:rFonts w:hint="eastAsia" w:ascii="TimesNewRoman" w:hAnsi="TimesNewRoman" w:eastAsia="仿宋_GB2312" w:cs="TimesNewRoman"/>
          <w:kern w:val="0"/>
          <w:sz w:val="32"/>
          <w:szCs w:val="32"/>
        </w:rPr>
        <w:t>2025年收入预算</w:t>
      </w:r>
      <w:r>
        <w:rPr>
          <w:rFonts w:hint="eastAsia" w:ascii="TimesNewRoman" w:hAnsi="TimesNewRoman" w:eastAsia="仿宋_GB2312" w:cs="TimesNewRoman"/>
          <w:kern w:val="0"/>
          <w:sz w:val="32"/>
          <w:szCs w:val="32"/>
          <w:lang w:val="en-US" w:eastAsia="zh-CN"/>
        </w:rPr>
        <w:t>1456.33</w:t>
      </w:r>
      <w:r>
        <w:rPr>
          <w:rFonts w:hint="eastAsia" w:ascii="TimesNewRoman" w:hAnsi="TimesNewRoman" w:eastAsia="仿宋_GB2312" w:cs="TimesNewRoman"/>
          <w:kern w:val="0"/>
          <w:sz w:val="32"/>
          <w:szCs w:val="32"/>
        </w:rPr>
        <w:t>万元，其中，本年收入</w:t>
      </w:r>
      <w:r>
        <w:rPr>
          <w:rFonts w:hint="eastAsia" w:ascii="TimesNewRoman" w:hAnsi="TimesNewRoman" w:eastAsia="仿宋_GB2312" w:cs="TimesNewRoman"/>
          <w:kern w:val="0"/>
          <w:sz w:val="32"/>
          <w:szCs w:val="32"/>
          <w:lang w:val="en-US" w:eastAsia="zh-CN"/>
        </w:rPr>
        <w:t>1456.33</w:t>
      </w:r>
      <w:r>
        <w:rPr>
          <w:rFonts w:hint="eastAsia" w:ascii="TimesNewRoman" w:hAnsi="TimesNewRoman" w:eastAsia="仿宋_GB2312" w:cs="TimesNewRoman"/>
          <w:kern w:val="0"/>
          <w:sz w:val="32"/>
          <w:szCs w:val="32"/>
        </w:rPr>
        <w:t>万元。</w:t>
      </w:r>
    </w:p>
    <w:p w14:paraId="0BEF837D">
      <w:pPr>
        <w:ind w:firstLine="643" w:firstLineChars="200"/>
        <w:rPr>
          <w:rFonts w:ascii="TimesNewRoman" w:hAnsi="TimesNewRoman" w:eastAsia="仿宋_GB2312" w:cs="TimesNewRoman"/>
          <w:kern w:val="0"/>
          <w:sz w:val="32"/>
          <w:szCs w:val="32"/>
        </w:rPr>
      </w:pPr>
      <w:r>
        <w:rPr>
          <w:rFonts w:hint="eastAsia" w:ascii="TimesNewRoman" w:hAnsi="TimesNewRoman" w:eastAsia="仿宋_GB2312" w:cs="TimesNewRoman"/>
          <w:b/>
          <w:kern w:val="0"/>
          <w:sz w:val="32"/>
          <w:szCs w:val="32"/>
        </w:rPr>
        <w:t>（一）本年收入</w:t>
      </w:r>
      <w:r>
        <w:rPr>
          <w:rFonts w:hint="eastAsia" w:ascii="TimesNewRoman" w:hAnsi="TimesNewRoman" w:eastAsia="仿宋_GB2312" w:cs="TimesNewRoman"/>
          <w:kern w:val="0"/>
          <w:sz w:val="32"/>
          <w:szCs w:val="32"/>
          <w:lang w:val="en-US" w:eastAsia="zh-CN"/>
        </w:rPr>
        <w:t>1456.33</w:t>
      </w:r>
      <w:r>
        <w:rPr>
          <w:rFonts w:hint="eastAsia" w:ascii="TimesNewRoman" w:hAnsi="TimesNewRoman" w:eastAsia="仿宋_GB2312" w:cs="TimesNewRoman"/>
          <w:b/>
          <w:kern w:val="0"/>
          <w:sz w:val="32"/>
          <w:szCs w:val="32"/>
        </w:rPr>
        <w:t>万元，</w:t>
      </w:r>
      <w:r>
        <w:rPr>
          <w:rFonts w:hint="eastAsia" w:ascii="TimesNewRoman" w:hAnsi="TimesNewRoman" w:eastAsia="仿宋_GB2312" w:cs="TimesNewRoman"/>
          <w:kern w:val="0"/>
          <w:sz w:val="32"/>
          <w:szCs w:val="32"/>
          <w:lang w:val="en-US" w:eastAsia="zh-CN"/>
        </w:rPr>
        <w:t>全部为</w:t>
      </w:r>
      <w:r>
        <w:rPr>
          <w:rFonts w:hint="eastAsia" w:ascii="TimesNewRoman" w:hAnsi="TimesNewRoman" w:eastAsia="仿宋_GB2312" w:cs="TimesNewRoman"/>
          <w:kern w:val="0"/>
          <w:sz w:val="32"/>
          <w:szCs w:val="32"/>
        </w:rPr>
        <w:t>一般公共预算拨款收入</w:t>
      </w:r>
      <w:r>
        <w:rPr>
          <w:rFonts w:hint="eastAsia" w:ascii="TimesNewRoman" w:hAnsi="TimesNewRoman" w:eastAsia="仿宋_GB2312" w:cs="TimesNewRoman"/>
          <w:kern w:val="0"/>
          <w:sz w:val="32"/>
          <w:szCs w:val="32"/>
          <w:lang w:val="en-US" w:eastAsia="zh-CN"/>
        </w:rPr>
        <w:t>1456.33</w:t>
      </w:r>
      <w:r>
        <w:rPr>
          <w:rFonts w:hint="eastAsia" w:ascii="TimesNewRoman" w:hAnsi="TimesNewRoman" w:eastAsia="仿宋_GB2312" w:cs="TimesNewRoman"/>
          <w:kern w:val="0"/>
          <w:sz w:val="32"/>
          <w:szCs w:val="32"/>
        </w:rPr>
        <w:t>万元，占</w:t>
      </w:r>
      <w:r>
        <w:rPr>
          <w:rFonts w:hint="eastAsia" w:ascii="TimesNewRoman" w:hAnsi="TimesNewRoman" w:eastAsia="仿宋_GB2312" w:cs="TimesNewRoman"/>
          <w:kern w:val="0"/>
          <w:sz w:val="32"/>
          <w:szCs w:val="32"/>
          <w:lang w:val="en-US" w:eastAsia="zh-CN"/>
        </w:rPr>
        <w:t>100</w:t>
      </w:r>
      <w:r>
        <w:rPr>
          <w:rFonts w:hint="eastAsia" w:ascii="TimesNewRoman" w:hAnsi="TimesNewRoman" w:eastAsia="仿宋_GB2312" w:cs="TimesNewRoman"/>
          <w:kern w:val="0"/>
          <w:sz w:val="32"/>
          <w:szCs w:val="32"/>
        </w:rPr>
        <w:t>%，比2024年预算</w:t>
      </w:r>
      <w:r>
        <w:rPr>
          <w:rFonts w:hint="eastAsia" w:ascii="TimesNewRoman" w:hAnsi="TimesNewRoman" w:eastAsia="仿宋_GB2312" w:cs="TimesNewRoman"/>
          <w:kern w:val="0"/>
          <w:sz w:val="32"/>
          <w:szCs w:val="32"/>
          <w:lang w:val="en-US" w:eastAsia="zh-CN"/>
        </w:rPr>
        <w:t>增加35.64</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val="en-US" w:eastAsia="zh-CN"/>
        </w:rPr>
        <w:t>增长2.51</w:t>
      </w:r>
      <w:r>
        <w:rPr>
          <w:rFonts w:hint="eastAsia" w:ascii="TimesNewRoman" w:hAnsi="TimesNewRoman" w:eastAsia="仿宋_GB2312" w:cs="TimesNewRoman"/>
          <w:kern w:val="0"/>
          <w:sz w:val="32"/>
          <w:szCs w:val="32"/>
        </w:rPr>
        <w:t>%，原因主要是</w:t>
      </w:r>
      <w:r>
        <w:rPr>
          <w:rFonts w:hint="eastAsia" w:ascii="TimesNewRoman" w:hAnsi="TimesNewRoman" w:eastAsia="仿宋_GB2312" w:cs="TimesNewRoman"/>
          <w:kern w:val="0"/>
          <w:sz w:val="32"/>
          <w:szCs w:val="32"/>
          <w:lang w:val="en-US" w:eastAsia="zh-CN"/>
        </w:rPr>
        <w:t>公共安全支出预算本年度增加</w:t>
      </w:r>
      <w:r>
        <w:rPr>
          <w:rFonts w:hint="eastAsia" w:ascii="TimesNewRoman" w:hAnsi="TimesNewRoman" w:eastAsia="仿宋_GB2312" w:cs="TimesNewRoman"/>
          <w:kern w:val="0"/>
          <w:sz w:val="32"/>
          <w:szCs w:val="32"/>
        </w:rPr>
        <w:t>。</w:t>
      </w:r>
    </w:p>
    <w:p w14:paraId="68F70530">
      <w:pPr>
        <w:pStyle w:val="7"/>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三、关于2025年支出总表的说明</w:t>
      </w:r>
    </w:p>
    <w:p w14:paraId="4CD839A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eastAsia="zh-CN"/>
        </w:rPr>
        <w:t>淮北市司法局</w:t>
      </w:r>
      <w:r>
        <w:rPr>
          <w:rFonts w:hint="eastAsia" w:ascii="TimesNewRoman" w:hAnsi="TimesNewRoman" w:eastAsia="仿宋_GB2312" w:cs="TimesNewRoman"/>
          <w:kern w:val="0"/>
          <w:sz w:val="32"/>
          <w:szCs w:val="32"/>
        </w:rPr>
        <w:t>2025年支出预算</w:t>
      </w:r>
      <w:r>
        <w:rPr>
          <w:rFonts w:hint="eastAsia" w:ascii="TimesNewRoman" w:hAnsi="TimesNewRoman" w:eastAsia="仿宋_GB2312" w:cs="TimesNewRoman"/>
          <w:kern w:val="0"/>
          <w:sz w:val="32"/>
          <w:szCs w:val="32"/>
          <w:lang w:val="en-US" w:eastAsia="zh-CN"/>
        </w:rPr>
        <w:t>1456.33</w:t>
      </w:r>
      <w:r>
        <w:rPr>
          <w:rFonts w:hint="eastAsia" w:ascii="TimesNewRoman" w:hAnsi="TimesNewRoman" w:eastAsia="仿宋_GB2312" w:cs="TimesNewRoman"/>
          <w:kern w:val="0"/>
          <w:sz w:val="32"/>
          <w:szCs w:val="32"/>
        </w:rPr>
        <w:t>万元，比2024年预算</w:t>
      </w:r>
      <w:r>
        <w:rPr>
          <w:rFonts w:hint="eastAsia" w:ascii="TimesNewRoman" w:hAnsi="TimesNewRoman" w:eastAsia="仿宋_GB2312" w:cs="TimesNewRoman"/>
          <w:kern w:val="0"/>
          <w:sz w:val="32"/>
          <w:szCs w:val="32"/>
          <w:lang w:val="en-US" w:eastAsia="zh-CN"/>
        </w:rPr>
        <w:t>增加35.64</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val="en-US" w:eastAsia="zh-CN"/>
        </w:rPr>
        <w:t>增长2.51</w:t>
      </w:r>
      <w:r>
        <w:rPr>
          <w:rFonts w:hint="eastAsia" w:ascii="TimesNewRoman" w:hAnsi="TimesNewRoman" w:eastAsia="仿宋_GB2312" w:cs="TimesNewRoman"/>
          <w:kern w:val="0"/>
          <w:sz w:val="32"/>
          <w:szCs w:val="32"/>
        </w:rPr>
        <w:t>%，原因主要是</w:t>
      </w:r>
      <w:r>
        <w:rPr>
          <w:rFonts w:hint="eastAsia" w:ascii="TimesNewRoman" w:hAnsi="TimesNewRoman" w:eastAsia="仿宋_GB2312" w:cs="TimesNewRoman"/>
          <w:kern w:val="0"/>
          <w:sz w:val="32"/>
          <w:szCs w:val="32"/>
          <w:lang w:val="en-US" w:eastAsia="zh-CN"/>
        </w:rPr>
        <w:t>公共安全支出预算本年度增加</w:t>
      </w:r>
      <w:r>
        <w:rPr>
          <w:rFonts w:hint="eastAsia" w:ascii="TimesNewRoman" w:hAnsi="TimesNewRoman" w:eastAsia="仿宋_GB2312" w:cs="TimesNewRoman"/>
          <w:kern w:val="0"/>
          <w:sz w:val="32"/>
          <w:szCs w:val="32"/>
        </w:rPr>
        <w:t>。其中，基本支出</w:t>
      </w:r>
      <w:r>
        <w:rPr>
          <w:rFonts w:hint="eastAsia" w:ascii="TimesNewRoman" w:hAnsi="TimesNewRoman" w:eastAsia="仿宋_GB2312" w:cs="TimesNewRoman"/>
          <w:kern w:val="0"/>
          <w:sz w:val="32"/>
          <w:szCs w:val="32"/>
          <w:lang w:val="en-US" w:eastAsia="zh-CN"/>
        </w:rPr>
        <w:t>1332.58</w:t>
      </w:r>
      <w:r>
        <w:rPr>
          <w:rFonts w:hint="eastAsia" w:ascii="TimesNewRoman" w:hAnsi="TimesNewRoman" w:eastAsia="仿宋_GB2312" w:cs="TimesNewRoman"/>
          <w:kern w:val="0"/>
          <w:sz w:val="32"/>
          <w:szCs w:val="32"/>
        </w:rPr>
        <w:t>万元，占</w:t>
      </w:r>
      <w:r>
        <w:rPr>
          <w:rFonts w:hint="eastAsia" w:ascii="TimesNewRoman" w:hAnsi="TimesNewRoman" w:eastAsia="仿宋_GB2312" w:cs="TimesNewRoman"/>
          <w:kern w:val="0"/>
          <w:sz w:val="32"/>
          <w:szCs w:val="32"/>
          <w:lang w:val="en-US" w:eastAsia="zh-CN"/>
        </w:rPr>
        <w:t>91.50</w:t>
      </w:r>
      <w:r>
        <w:rPr>
          <w:rFonts w:hint="eastAsia" w:ascii="TimesNewRoman" w:hAnsi="TimesNewRoman" w:eastAsia="仿宋_GB2312" w:cs="TimesNewRoman"/>
          <w:kern w:val="0"/>
          <w:sz w:val="32"/>
          <w:szCs w:val="32"/>
        </w:rPr>
        <w:t>%，主要用于保障机构日常运转、完成日常工作任务；项目支出</w:t>
      </w:r>
      <w:r>
        <w:rPr>
          <w:rFonts w:hint="eastAsia" w:ascii="TimesNewRoman" w:hAnsi="TimesNewRoman" w:eastAsia="仿宋_GB2312" w:cs="TimesNewRoman"/>
          <w:kern w:val="0"/>
          <w:sz w:val="32"/>
          <w:szCs w:val="32"/>
          <w:lang w:val="en-US" w:eastAsia="zh-CN"/>
        </w:rPr>
        <w:t>123.75</w:t>
      </w:r>
      <w:r>
        <w:rPr>
          <w:rFonts w:hint="eastAsia" w:ascii="TimesNewRoman" w:hAnsi="TimesNewRoman" w:eastAsia="仿宋_GB2312" w:cs="TimesNewRoman"/>
          <w:kern w:val="0"/>
          <w:sz w:val="32"/>
          <w:szCs w:val="32"/>
        </w:rPr>
        <w:t>万元，占</w:t>
      </w:r>
      <w:r>
        <w:rPr>
          <w:rFonts w:hint="eastAsia" w:ascii="TimesNewRoman" w:hAnsi="TimesNewRoman" w:eastAsia="仿宋_GB2312" w:cs="TimesNewRoman"/>
          <w:kern w:val="0"/>
          <w:sz w:val="32"/>
          <w:szCs w:val="32"/>
          <w:lang w:val="en-US" w:eastAsia="zh-CN"/>
        </w:rPr>
        <w:t>8.50</w:t>
      </w:r>
      <w:r>
        <w:rPr>
          <w:rFonts w:hint="eastAsia" w:ascii="TimesNewRoman" w:hAnsi="TimesNewRoman" w:eastAsia="仿宋_GB2312" w:cs="TimesNewRoman"/>
          <w:kern w:val="0"/>
          <w:sz w:val="32"/>
          <w:szCs w:val="32"/>
        </w:rPr>
        <w:t>%，主要用于</w:t>
      </w:r>
      <w:r>
        <w:rPr>
          <w:rFonts w:hint="eastAsia" w:ascii="TimesNewRoman" w:hAnsi="TimesNewRoman" w:eastAsia="仿宋_GB2312" w:cs="TimesNewRoman"/>
          <w:kern w:val="0"/>
          <w:sz w:val="32"/>
          <w:szCs w:val="32"/>
          <w:lang w:val="en-US" w:eastAsia="zh-CN"/>
        </w:rPr>
        <w:t>部门经常性项目的开展</w:t>
      </w:r>
      <w:r>
        <w:rPr>
          <w:rFonts w:hint="eastAsia" w:ascii="TimesNewRoman" w:hAnsi="TimesNewRoman" w:eastAsia="仿宋_GB2312" w:cs="TimesNewRoman"/>
          <w:kern w:val="0"/>
          <w:sz w:val="32"/>
          <w:szCs w:val="32"/>
        </w:rPr>
        <w:t>。</w:t>
      </w:r>
    </w:p>
    <w:p w14:paraId="243D8F96">
      <w:pPr>
        <w:pStyle w:val="7"/>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四、关于2025年财政拨款收支总表的说明</w:t>
      </w:r>
    </w:p>
    <w:p w14:paraId="56A61731">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eastAsia="zh-CN"/>
        </w:rPr>
        <w:t>淮北市司法局</w:t>
      </w:r>
      <w:r>
        <w:rPr>
          <w:rFonts w:hint="eastAsia" w:ascii="TimesNewRoman" w:hAnsi="TimesNewRoman" w:eastAsia="仿宋_GB2312" w:cs="TimesNewRoman"/>
          <w:kern w:val="0"/>
          <w:sz w:val="32"/>
          <w:szCs w:val="32"/>
        </w:rPr>
        <w:t>2025年财政拨款收支预算</w:t>
      </w:r>
      <w:r>
        <w:rPr>
          <w:rFonts w:hint="eastAsia" w:ascii="TimesNewRoman" w:hAnsi="TimesNewRoman" w:eastAsia="仿宋_GB2312" w:cs="TimesNewRoman"/>
          <w:kern w:val="0"/>
          <w:sz w:val="32"/>
          <w:szCs w:val="32"/>
          <w:lang w:val="en-US" w:eastAsia="zh-CN"/>
        </w:rPr>
        <w:t>1456.33</w:t>
      </w:r>
      <w:r>
        <w:rPr>
          <w:rFonts w:hint="eastAsia" w:ascii="TimesNewRoman" w:hAnsi="TimesNewRoman" w:eastAsia="仿宋_GB2312" w:cs="TimesNewRoman"/>
          <w:kern w:val="0"/>
          <w:sz w:val="32"/>
          <w:szCs w:val="32"/>
        </w:rPr>
        <w:t>万元。收入按资金来源分为：</w:t>
      </w:r>
      <w:r>
        <w:rPr>
          <w:rFonts w:hint="eastAsia" w:ascii="TimesNewRoman" w:hAnsi="TimesNewRoman" w:eastAsia="仿宋_GB2312" w:cs="TimesNewRoman"/>
          <w:kern w:val="0"/>
          <w:sz w:val="32"/>
          <w:szCs w:val="32"/>
          <w:lang w:val="en-US" w:eastAsia="zh-CN"/>
        </w:rPr>
        <w:t>全部为</w:t>
      </w:r>
      <w:r>
        <w:rPr>
          <w:rFonts w:hint="eastAsia" w:ascii="TimesNewRoman" w:hAnsi="TimesNewRoman" w:eastAsia="仿宋_GB2312" w:cs="TimesNewRoman"/>
          <w:kern w:val="0"/>
          <w:sz w:val="32"/>
          <w:szCs w:val="32"/>
        </w:rPr>
        <w:t>一般公共预算拨款</w:t>
      </w:r>
      <w:r>
        <w:rPr>
          <w:rFonts w:hint="eastAsia" w:ascii="TimesNewRoman" w:hAnsi="TimesNewRoman" w:eastAsia="仿宋_GB2312" w:cs="TimesNewRoman"/>
          <w:kern w:val="0"/>
          <w:sz w:val="32"/>
          <w:szCs w:val="32"/>
          <w:lang w:val="en-US" w:eastAsia="zh-CN"/>
        </w:rPr>
        <w:t>1456.33</w:t>
      </w:r>
      <w:r>
        <w:rPr>
          <w:rFonts w:hint="eastAsia" w:ascii="TimesNewRoman" w:hAnsi="TimesNewRoman" w:eastAsia="仿宋_GB2312" w:cs="TimesNewRoman"/>
          <w:kern w:val="0"/>
          <w:sz w:val="32"/>
          <w:szCs w:val="32"/>
        </w:rPr>
        <w:t>万元；按资金年度分为：</w:t>
      </w:r>
      <w:r>
        <w:rPr>
          <w:rFonts w:hint="eastAsia" w:ascii="TimesNewRoman" w:hAnsi="TimesNewRoman" w:eastAsia="仿宋_GB2312" w:cs="TimesNewRoman"/>
          <w:kern w:val="0"/>
          <w:sz w:val="32"/>
          <w:szCs w:val="32"/>
          <w:lang w:val="en-US" w:eastAsia="zh-CN"/>
        </w:rPr>
        <w:t>全部为</w:t>
      </w:r>
      <w:r>
        <w:rPr>
          <w:rFonts w:hint="eastAsia" w:ascii="TimesNewRoman" w:hAnsi="TimesNewRoman" w:eastAsia="仿宋_GB2312" w:cs="TimesNewRoman"/>
          <w:kern w:val="0"/>
          <w:sz w:val="32"/>
          <w:szCs w:val="32"/>
        </w:rPr>
        <w:t>本年财政拨款收入</w:t>
      </w:r>
      <w:r>
        <w:rPr>
          <w:rFonts w:hint="eastAsia" w:ascii="TimesNewRoman" w:hAnsi="TimesNewRoman" w:eastAsia="仿宋_GB2312" w:cs="TimesNewRoman"/>
          <w:kern w:val="0"/>
          <w:sz w:val="32"/>
          <w:szCs w:val="32"/>
          <w:lang w:val="en-US" w:eastAsia="zh-CN"/>
        </w:rPr>
        <w:t>1456.33</w:t>
      </w:r>
      <w:r>
        <w:rPr>
          <w:rFonts w:hint="eastAsia" w:ascii="TimesNewRoman" w:hAnsi="TimesNewRoman" w:eastAsia="仿宋_GB2312" w:cs="TimesNewRoman"/>
          <w:kern w:val="0"/>
          <w:sz w:val="32"/>
          <w:szCs w:val="32"/>
        </w:rPr>
        <w:t>万元。支出按功能分类分为：</w:t>
      </w:r>
      <w:r>
        <w:rPr>
          <w:rFonts w:hint="eastAsia" w:ascii="TimesNewRoman" w:hAnsi="TimesNewRoman" w:eastAsia="仿宋_GB2312" w:cs="TimesNewRoman"/>
          <w:kern w:val="0"/>
          <w:sz w:val="32"/>
          <w:szCs w:val="32"/>
          <w:lang w:val="en-US" w:eastAsia="zh-CN"/>
        </w:rPr>
        <w:t>公共安全支出878.33</w:t>
      </w:r>
      <w:r>
        <w:rPr>
          <w:rFonts w:hint="eastAsia" w:ascii="TimesNewRoman" w:hAnsi="TimesNewRoman" w:eastAsia="仿宋_GB2312" w:cs="TimesNewRoman"/>
          <w:kern w:val="0"/>
          <w:sz w:val="32"/>
          <w:szCs w:val="32"/>
        </w:rPr>
        <w:t>万元，占</w:t>
      </w:r>
      <w:r>
        <w:rPr>
          <w:rFonts w:hint="eastAsia" w:ascii="TimesNewRoman" w:hAnsi="TimesNewRoman" w:eastAsia="仿宋_GB2312" w:cs="TimesNewRoman"/>
          <w:kern w:val="0"/>
          <w:sz w:val="32"/>
          <w:szCs w:val="32"/>
          <w:lang w:val="en-US" w:eastAsia="zh-CN"/>
        </w:rPr>
        <w:t>60.31</w:t>
      </w:r>
      <w:r>
        <w:rPr>
          <w:rFonts w:hint="eastAsia" w:ascii="TimesNewRoman" w:hAnsi="TimesNewRoman" w:eastAsia="仿宋_GB2312" w:cs="TimesNewRoman"/>
          <w:kern w:val="0"/>
          <w:sz w:val="32"/>
          <w:szCs w:val="32"/>
        </w:rPr>
        <w:t>%；社会保障和就业支出</w:t>
      </w:r>
      <w:r>
        <w:rPr>
          <w:rFonts w:hint="eastAsia" w:ascii="TimesNewRoman" w:hAnsi="TimesNewRoman" w:eastAsia="仿宋_GB2312" w:cs="TimesNewRoman"/>
          <w:kern w:val="0"/>
          <w:sz w:val="32"/>
          <w:szCs w:val="32"/>
          <w:lang w:val="en-US" w:eastAsia="zh-CN"/>
        </w:rPr>
        <w:t>359.07</w:t>
      </w:r>
      <w:r>
        <w:rPr>
          <w:rFonts w:hint="eastAsia" w:ascii="TimesNewRoman" w:hAnsi="TimesNewRoman" w:eastAsia="仿宋_GB2312" w:cs="TimesNewRoman"/>
          <w:kern w:val="0"/>
          <w:sz w:val="32"/>
          <w:szCs w:val="32"/>
        </w:rPr>
        <w:t>万元，占</w:t>
      </w:r>
      <w:r>
        <w:rPr>
          <w:rFonts w:hint="eastAsia" w:ascii="TimesNewRoman" w:hAnsi="TimesNewRoman" w:eastAsia="仿宋_GB2312" w:cs="TimesNewRoman"/>
          <w:kern w:val="0"/>
          <w:sz w:val="32"/>
          <w:szCs w:val="32"/>
          <w:lang w:val="en-US" w:eastAsia="zh-CN"/>
        </w:rPr>
        <w:t>24.66</w:t>
      </w:r>
      <w:r>
        <w:rPr>
          <w:rFonts w:hint="eastAsia" w:ascii="TimesNewRoman" w:hAnsi="TimesNewRoman" w:eastAsia="仿宋_GB2312" w:cs="TimesNewRoman"/>
          <w:kern w:val="0"/>
          <w:sz w:val="32"/>
          <w:szCs w:val="32"/>
        </w:rPr>
        <w:t>%；卫生健康支出</w:t>
      </w:r>
      <w:r>
        <w:rPr>
          <w:rFonts w:hint="eastAsia" w:ascii="TimesNewRoman" w:hAnsi="TimesNewRoman" w:eastAsia="仿宋_GB2312" w:cs="TimesNewRoman"/>
          <w:kern w:val="0"/>
          <w:sz w:val="32"/>
          <w:szCs w:val="32"/>
          <w:lang w:val="en-US" w:eastAsia="zh-CN"/>
        </w:rPr>
        <w:t>46.15</w:t>
      </w:r>
      <w:r>
        <w:rPr>
          <w:rFonts w:hint="eastAsia" w:ascii="TimesNewRoman" w:hAnsi="TimesNewRoman" w:eastAsia="仿宋_GB2312" w:cs="TimesNewRoman"/>
          <w:kern w:val="0"/>
          <w:sz w:val="32"/>
          <w:szCs w:val="32"/>
        </w:rPr>
        <w:t>万元，占</w:t>
      </w:r>
      <w:r>
        <w:rPr>
          <w:rFonts w:hint="eastAsia" w:ascii="TimesNewRoman" w:hAnsi="TimesNewRoman" w:eastAsia="仿宋_GB2312" w:cs="TimesNewRoman"/>
          <w:kern w:val="0"/>
          <w:sz w:val="32"/>
          <w:szCs w:val="32"/>
          <w:lang w:val="en-US" w:eastAsia="zh-CN"/>
        </w:rPr>
        <w:t>3.17</w:t>
      </w:r>
      <w:r>
        <w:rPr>
          <w:rFonts w:hint="eastAsia" w:ascii="TimesNewRoman" w:hAnsi="TimesNewRoman" w:eastAsia="仿宋_GB2312" w:cs="TimesNewRoman"/>
          <w:kern w:val="0"/>
          <w:sz w:val="32"/>
          <w:szCs w:val="32"/>
        </w:rPr>
        <w:t>%；住房保障支出</w:t>
      </w:r>
      <w:r>
        <w:rPr>
          <w:rFonts w:hint="eastAsia" w:ascii="TimesNewRoman" w:hAnsi="TimesNewRoman" w:eastAsia="仿宋_GB2312" w:cs="TimesNewRoman"/>
          <w:kern w:val="0"/>
          <w:sz w:val="32"/>
          <w:szCs w:val="32"/>
          <w:lang w:val="en-US" w:eastAsia="zh-CN"/>
        </w:rPr>
        <w:t>172.78</w:t>
      </w:r>
      <w:r>
        <w:rPr>
          <w:rFonts w:hint="eastAsia" w:ascii="TimesNewRoman" w:hAnsi="TimesNewRoman" w:eastAsia="仿宋_GB2312" w:cs="TimesNewRoman"/>
          <w:kern w:val="0"/>
          <w:sz w:val="32"/>
          <w:szCs w:val="32"/>
        </w:rPr>
        <w:t>万元，占</w:t>
      </w:r>
      <w:r>
        <w:rPr>
          <w:rFonts w:hint="eastAsia" w:ascii="TimesNewRoman" w:hAnsi="TimesNewRoman" w:eastAsia="仿宋_GB2312" w:cs="TimesNewRoman"/>
          <w:kern w:val="0"/>
          <w:sz w:val="32"/>
          <w:szCs w:val="32"/>
          <w:lang w:val="en-US" w:eastAsia="zh-CN"/>
        </w:rPr>
        <w:t>11.86</w:t>
      </w:r>
      <w:r>
        <w:rPr>
          <w:rFonts w:hint="eastAsia" w:ascii="TimesNewRoman" w:hAnsi="TimesNewRoman" w:eastAsia="仿宋_GB2312" w:cs="TimesNewRoman"/>
          <w:kern w:val="0"/>
          <w:sz w:val="32"/>
          <w:szCs w:val="32"/>
        </w:rPr>
        <w:t>%。</w:t>
      </w:r>
    </w:p>
    <w:p w14:paraId="2737D3EB">
      <w:pPr>
        <w:pStyle w:val="7"/>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五、关于2025年一般公共预算支出表的说明</w:t>
      </w:r>
    </w:p>
    <w:p w14:paraId="7D132C3F">
      <w:pPr>
        <w:pStyle w:val="7"/>
        <w:adjustRightInd w:val="0"/>
        <w:snapToGrid w:val="0"/>
        <w:spacing w:line="560" w:lineRule="exact"/>
        <w:ind w:firstLine="630" w:firstLineChars="196"/>
        <w:rPr>
          <w:rFonts w:ascii="TimesNewRoman" w:hAnsi="TimesNewRoman" w:eastAsia="楷体_GB2312" w:cs="TimesNewRoman"/>
          <w:b/>
          <w:sz w:val="32"/>
          <w:szCs w:val="32"/>
        </w:rPr>
      </w:pPr>
      <w:r>
        <w:rPr>
          <w:rFonts w:hint="eastAsia" w:ascii="TimesNewRoman" w:hAnsi="TimesNewRoman" w:eastAsia="楷体_GB2312" w:cs="TimesNewRoman"/>
          <w:b/>
          <w:sz w:val="32"/>
          <w:szCs w:val="32"/>
        </w:rPr>
        <w:t>（一）一般公共预算支出规模变化情况。</w:t>
      </w:r>
    </w:p>
    <w:p w14:paraId="532D4144">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eastAsia="zh-CN"/>
        </w:rPr>
        <w:t>淮北市司法局</w:t>
      </w:r>
      <w:r>
        <w:rPr>
          <w:rFonts w:hint="eastAsia" w:ascii="TimesNewRoman" w:hAnsi="TimesNewRoman" w:eastAsia="仿宋_GB2312" w:cs="TimesNewRoman"/>
          <w:kern w:val="0"/>
          <w:sz w:val="32"/>
          <w:szCs w:val="32"/>
        </w:rPr>
        <w:t>2025年一般公共预算支出</w:t>
      </w:r>
      <w:r>
        <w:rPr>
          <w:rFonts w:hint="eastAsia" w:ascii="TimesNewRoman" w:hAnsi="TimesNewRoman" w:eastAsia="仿宋_GB2312" w:cs="TimesNewRoman"/>
          <w:kern w:val="0"/>
          <w:sz w:val="32"/>
          <w:szCs w:val="32"/>
          <w:lang w:val="en-US" w:eastAsia="zh-CN"/>
        </w:rPr>
        <w:t>1456.33</w:t>
      </w:r>
      <w:r>
        <w:rPr>
          <w:rFonts w:hint="eastAsia" w:ascii="TimesNewRoman" w:hAnsi="TimesNewRoman" w:eastAsia="仿宋_GB2312" w:cs="TimesNewRoman"/>
          <w:kern w:val="0"/>
          <w:sz w:val="32"/>
          <w:szCs w:val="32"/>
        </w:rPr>
        <w:t>万元，比2024年预算</w:t>
      </w:r>
      <w:r>
        <w:rPr>
          <w:rFonts w:hint="eastAsia" w:ascii="TimesNewRoman" w:hAnsi="TimesNewRoman" w:eastAsia="仿宋_GB2312" w:cs="TimesNewRoman"/>
          <w:kern w:val="0"/>
          <w:sz w:val="32"/>
          <w:szCs w:val="32"/>
          <w:lang w:val="en-US" w:eastAsia="zh-CN"/>
        </w:rPr>
        <w:t>增加35.64</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val="en-US" w:eastAsia="zh-CN"/>
        </w:rPr>
        <w:t>增长2.51</w:t>
      </w:r>
      <w:r>
        <w:rPr>
          <w:rFonts w:hint="eastAsia" w:ascii="TimesNewRoman" w:hAnsi="TimesNewRoman" w:eastAsia="仿宋_GB2312" w:cs="TimesNewRoman"/>
          <w:kern w:val="0"/>
          <w:sz w:val="32"/>
          <w:szCs w:val="32"/>
        </w:rPr>
        <w:t>%，主要原因：</w:t>
      </w:r>
      <w:r>
        <w:rPr>
          <w:rFonts w:hint="eastAsia" w:ascii="TimesNewRoman" w:hAnsi="TimesNewRoman" w:eastAsia="仿宋_GB2312" w:cs="TimesNewRoman"/>
          <w:kern w:val="0"/>
          <w:sz w:val="32"/>
          <w:szCs w:val="32"/>
          <w:lang w:val="en-US" w:eastAsia="zh-CN"/>
        </w:rPr>
        <w:t>本年度公共安全支出预算安排增加</w:t>
      </w:r>
      <w:r>
        <w:rPr>
          <w:rFonts w:hint="eastAsia" w:ascii="TimesNewRoman" w:hAnsi="TimesNewRoman" w:eastAsia="仿宋_GB2312" w:cs="TimesNewRoman"/>
          <w:kern w:val="0"/>
          <w:sz w:val="32"/>
          <w:szCs w:val="32"/>
        </w:rPr>
        <w:t>。</w:t>
      </w:r>
    </w:p>
    <w:p w14:paraId="2968B099">
      <w:pPr>
        <w:pStyle w:val="7"/>
        <w:adjustRightInd w:val="0"/>
        <w:snapToGrid w:val="0"/>
        <w:spacing w:line="560" w:lineRule="exact"/>
        <w:ind w:firstLine="630" w:firstLineChars="196"/>
        <w:rPr>
          <w:rFonts w:ascii="TimesNewRoman" w:hAnsi="TimesNewRoman" w:eastAsia="楷体_GB2312" w:cs="TimesNewRoman"/>
          <w:b/>
          <w:sz w:val="32"/>
          <w:szCs w:val="32"/>
        </w:rPr>
      </w:pPr>
      <w:r>
        <w:rPr>
          <w:rFonts w:hint="eastAsia" w:ascii="TimesNewRoman" w:hAnsi="TimesNewRoman" w:eastAsia="楷体_GB2312" w:cs="TimesNewRoman"/>
          <w:b/>
          <w:sz w:val="32"/>
          <w:szCs w:val="32"/>
        </w:rPr>
        <w:t>（二）一般公共预算支出结构情况。</w:t>
      </w:r>
    </w:p>
    <w:p w14:paraId="70BD5594">
      <w:pPr>
        <w:pStyle w:val="7"/>
        <w:adjustRightInd w:val="0"/>
        <w:snapToGrid w:val="0"/>
        <w:spacing w:line="560" w:lineRule="exact"/>
        <w:ind w:firstLine="627" w:firstLineChars="196"/>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公共安全支出878.33</w:t>
      </w:r>
      <w:r>
        <w:rPr>
          <w:rFonts w:hint="eastAsia" w:ascii="TimesNewRoman" w:hAnsi="TimesNewRoman" w:eastAsia="仿宋_GB2312" w:cs="TimesNewRoman"/>
          <w:kern w:val="0"/>
          <w:sz w:val="32"/>
          <w:szCs w:val="32"/>
        </w:rPr>
        <w:t>万元，占</w:t>
      </w:r>
      <w:r>
        <w:rPr>
          <w:rFonts w:hint="eastAsia" w:ascii="TimesNewRoman" w:hAnsi="TimesNewRoman" w:eastAsia="仿宋_GB2312" w:cs="TimesNewRoman"/>
          <w:kern w:val="0"/>
          <w:sz w:val="32"/>
          <w:szCs w:val="32"/>
          <w:lang w:val="en-US" w:eastAsia="zh-CN"/>
        </w:rPr>
        <w:t>60.31</w:t>
      </w:r>
      <w:r>
        <w:rPr>
          <w:rFonts w:hint="eastAsia" w:ascii="TimesNewRoman" w:hAnsi="TimesNewRoman" w:eastAsia="仿宋_GB2312" w:cs="TimesNewRoman"/>
          <w:kern w:val="0"/>
          <w:sz w:val="32"/>
          <w:szCs w:val="32"/>
        </w:rPr>
        <w:t>%；社会保障和就业支出</w:t>
      </w:r>
      <w:r>
        <w:rPr>
          <w:rFonts w:hint="eastAsia" w:ascii="TimesNewRoman" w:hAnsi="TimesNewRoman" w:eastAsia="仿宋_GB2312" w:cs="TimesNewRoman"/>
          <w:kern w:val="0"/>
          <w:sz w:val="32"/>
          <w:szCs w:val="32"/>
          <w:lang w:val="en-US" w:eastAsia="zh-CN"/>
        </w:rPr>
        <w:t>359.07</w:t>
      </w:r>
      <w:r>
        <w:rPr>
          <w:rFonts w:hint="eastAsia" w:ascii="TimesNewRoman" w:hAnsi="TimesNewRoman" w:eastAsia="仿宋_GB2312" w:cs="TimesNewRoman"/>
          <w:kern w:val="0"/>
          <w:sz w:val="32"/>
          <w:szCs w:val="32"/>
        </w:rPr>
        <w:t>万元，占</w:t>
      </w:r>
      <w:r>
        <w:rPr>
          <w:rFonts w:hint="eastAsia" w:ascii="TimesNewRoman" w:hAnsi="TimesNewRoman" w:eastAsia="仿宋_GB2312" w:cs="TimesNewRoman"/>
          <w:kern w:val="0"/>
          <w:sz w:val="32"/>
          <w:szCs w:val="32"/>
          <w:lang w:val="en-US" w:eastAsia="zh-CN"/>
        </w:rPr>
        <w:t>24.66</w:t>
      </w:r>
      <w:r>
        <w:rPr>
          <w:rFonts w:hint="eastAsia" w:ascii="TimesNewRoman" w:hAnsi="TimesNewRoman" w:eastAsia="仿宋_GB2312" w:cs="TimesNewRoman"/>
          <w:kern w:val="0"/>
          <w:sz w:val="32"/>
          <w:szCs w:val="32"/>
        </w:rPr>
        <w:t>%；卫生健康支出</w:t>
      </w:r>
      <w:r>
        <w:rPr>
          <w:rFonts w:hint="eastAsia" w:ascii="TimesNewRoman" w:hAnsi="TimesNewRoman" w:eastAsia="仿宋_GB2312" w:cs="TimesNewRoman"/>
          <w:kern w:val="0"/>
          <w:sz w:val="32"/>
          <w:szCs w:val="32"/>
          <w:lang w:val="en-US" w:eastAsia="zh-CN"/>
        </w:rPr>
        <w:t>46.15</w:t>
      </w:r>
      <w:r>
        <w:rPr>
          <w:rFonts w:hint="eastAsia" w:ascii="TimesNewRoman" w:hAnsi="TimesNewRoman" w:eastAsia="仿宋_GB2312" w:cs="TimesNewRoman"/>
          <w:kern w:val="0"/>
          <w:sz w:val="32"/>
          <w:szCs w:val="32"/>
        </w:rPr>
        <w:t>万元，占</w:t>
      </w:r>
      <w:r>
        <w:rPr>
          <w:rFonts w:hint="eastAsia" w:ascii="TimesNewRoman" w:hAnsi="TimesNewRoman" w:eastAsia="仿宋_GB2312" w:cs="TimesNewRoman"/>
          <w:kern w:val="0"/>
          <w:sz w:val="32"/>
          <w:szCs w:val="32"/>
          <w:lang w:val="en-US" w:eastAsia="zh-CN"/>
        </w:rPr>
        <w:t>3.17</w:t>
      </w:r>
      <w:r>
        <w:rPr>
          <w:rFonts w:hint="eastAsia" w:ascii="TimesNewRoman" w:hAnsi="TimesNewRoman" w:eastAsia="仿宋_GB2312" w:cs="TimesNewRoman"/>
          <w:kern w:val="0"/>
          <w:sz w:val="32"/>
          <w:szCs w:val="32"/>
        </w:rPr>
        <w:t>%；住房保障支出</w:t>
      </w:r>
      <w:r>
        <w:rPr>
          <w:rFonts w:hint="eastAsia" w:ascii="TimesNewRoman" w:hAnsi="TimesNewRoman" w:eastAsia="仿宋_GB2312" w:cs="TimesNewRoman"/>
          <w:kern w:val="0"/>
          <w:sz w:val="32"/>
          <w:szCs w:val="32"/>
          <w:lang w:val="en-US" w:eastAsia="zh-CN"/>
        </w:rPr>
        <w:t>172.78</w:t>
      </w:r>
      <w:r>
        <w:rPr>
          <w:rFonts w:hint="eastAsia" w:ascii="TimesNewRoman" w:hAnsi="TimesNewRoman" w:eastAsia="仿宋_GB2312" w:cs="TimesNewRoman"/>
          <w:kern w:val="0"/>
          <w:sz w:val="32"/>
          <w:szCs w:val="32"/>
        </w:rPr>
        <w:t>万元，占</w:t>
      </w:r>
      <w:r>
        <w:rPr>
          <w:rFonts w:hint="eastAsia" w:ascii="TimesNewRoman" w:hAnsi="TimesNewRoman" w:eastAsia="仿宋_GB2312" w:cs="TimesNewRoman"/>
          <w:kern w:val="0"/>
          <w:sz w:val="32"/>
          <w:szCs w:val="32"/>
          <w:lang w:val="en-US" w:eastAsia="zh-CN"/>
        </w:rPr>
        <w:t>11.86</w:t>
      </w:r>
      <w:r>
        <w:rPr>
          <w:rFonts w:hint="eastAsia" w:ascii="TimesNewRoman" w:hAnsi="TimesNewRoman" w:eastAsia="仿宋_GB2312" w:cs="TimesNewRoman"/>
          <w:kern w:val="0"/>
          <w:sz w:val="32"/>
          <w:szCs w:val="32"/>
        </w:rPr>
        <w:t>%。</w:t>
      </w:r>
    </w:p>
    <w:p w14:paraId="738BB497">
      <w:pPr>
        <w:pStyle w:val="7"/>
        <w:adjustRightInd w:val="0"/>
        <w:snapToGrid w:val="0"/>
        <w:spacing w:line="560" w:lineRule="exact"/>
        <w:ind w:firstLine="630" w:firstLineChars="196"/>
        <w:rPr>
          <w:rFonts w:ascii="TimesNewRoman" w:hAnsi="TimesNewRoman" w:eastAsia="楷体_GB2312" w:cs="TimesNewRoman"/>
          <w:b/>
          <w:sz w:val="32"/>
          <w:szCs w:val="32"/>
        </w:rPr>
      </w:pPr>
      <w:r>
        <w:rPr>
          <w:rFonts w:hint="eastAsia" w:ascii="TimesNewRoman" w:hAnsi="TimesNewRoman" w:eastAsia="楷体_GB2312" w:cs="TimesNewRoman"/>
          <w:b/>
          <w:sz w:val="32"/>
          <w:szCs w:val="32"/>
        </w:rPr>
        <w:t>（三）一般公共预算支出具体使用情况。</w:t>
      </w:r>
    </w:p>
    <w:p w14:paraId="730B7F57">
      <w:pPr>
        <w:adjustRightInd w:val="0"/>
        <w:snapToGrid w:val="0"/>
        <w:spacing w:line="600" w:lineRule="exact"/>
        <w:ind w:firstLine="643" w:firstLineChars="200"/>
        <w:rPr>
          <w:rFonts w:hint="eastAsia" w:ascii="仿宋" w:hAnsi="仿宋" w:eastAsia="仿宋_GB2312"/>
          <w:sz w:val="32"/>
          <w:szCs w:val="32"/>
        </w:rPr>
      </w:pPr>
      <w:r>
        <w:rPr>
          <w:rFonts w:hint="eastAsia" w:ascii="仿宋" w:hAnsi="仿宋" w:eastAsia="仿宋_GB2312"/>
          <w:b/>
          <w:sz w:val="32"/>
          <w:szCs w:val="32"/>
          <w:lang w:val="en-US" w:eastAsia="zh-CN"/>
        </w:rPr>
        <w:t>1</w:t>
      </w:r>
      <w:r>
        <w:rPr>
          <w:rFonts w:hint="eastAsia" w:ascii="仿宋" w:hAnsi="仿宋" w:eastAsia="仿宋_GB2312"/>
          <w:b/>
          <w:sz w:val="32"/>
          <w:szCs w:val="32"/>
        </w:rPr>
        <w:t>.公共安全支出（类）司法（款）行政运行（项）</w:t>
      </w:r>
      <w:r>
        <w:rPr>
          <w:rFonts w:hint="eastAsia" w:ascii="仿宋" w:hAnsi="仿宋" w:eastAsia="仿宋_GB2312"/>
          <w:sz w:val="32"/>
          <w:szCs w:val="32"/>
          <w:lang w:eastAsia="zh-CN"/>
        </w:rPr>
        <w:t>2025</w:t>
      </w:r>
      <w:r>
        <w:rPr>
          <w:rFonts w:hint="eastAsia" w:ascii="仿宋" w:hAnsi="仿宋" w:eastAsia="仿宋_GB2312"/>
          <w:sz w:val="32"/>
          <w:szCs w:val="32"/>
        </w:rPr>
        <w:t>年预算</w:t>
      </w:r>
      <w:r>
        <w:rPr>
          <w:rFonts w:hint="eastAsia" w:ascii="仿宋" w:hAnsi="仿宋" w:eastAsia="仿宋_GB2312"/>
          <w:sz w:val="32"/>
          <w:szCs w:val="32"/>
          <w:lang w:val="en-US" w:eastAsia="zh-CN"/>
        </w:rPr>
        <w:t>607.23</w:t>
      </w:r>
      <w:r>
        <w:rPr>
          <w:rFonts w:hint="eastAsia" w:ascii="仿宋" w:hAnsi="仿宋" w:eastAsia="仿宋_GB2312"/>
          <w:sz w:val="32"/>
          <w:szCs w:val="32"/>
        </w:rPr>
        <w:t>万元，比</w:t>
      </w:r>
      <w:r>
        <w:rPr>
          <w:rFonts w:hint="eastAsia" w:ascii="仿宋" w:hAnsi="仿宋" w:eastAsia="仿宋_GB2312"/>
          <w:sz w:val="32"/>
          <w:szCs w:val="32"/>
          <w:lang w:eastAsia="zh-CN"/>
        </w:rPr>
        <w:t>2024</w:t>
      </w:r>
      <w:r>
        <w:rPr>
          <w:rFonts w:hint="eastAsia" w:ascii="仿宋" w:hAnsi="仿宋" w:eastAsia="仿宋_GB2312"/>
          <w:sz w:val="32"/>
          <w:szCs w:val="32"/>
        </w:rPr>
        <w:t>年预算</w:t>
      </w:r>
      <w:r>
        <w:rPr>
          <w:rFonts w:hint="eastAsia" w:ascii="仿宋" w:hAnsi="仿宋" w:eastAsia="仿宋_GB2312"/>
          <w:sz w:val="32"/>
          <w:szCs w:val="32"/>
          <w:lang w:val="en-US" w:eastAsia="zh-CN"/>
        </w:rPr>
        <w:t>增加51.73</w:t>
      </w:r>
      <w:r>
        <w:rPr>
          <w:rFonts w:hint="eastAsia" w:ascii="仿宋" w:hAnsi="仿宋" w:eastAsia="仿宋_GB2312"/>
          <w:sz w:val="32"/>
          <w:szCs w:val="32"/>
        </w:rPr>
        <w:t>万元，</w:t>
      </w:r>
      <w:r>
        <w:rPr>
          <w:rFonts w:hint="eastAsia" w:ascii="仿宋" w:hAnsi="仿宋" w:eastAsia="仿宋_GB2312"/>
          <w:sz w:val="32"/>
          <w:szCs w:val="32"/>
          <w:lang w:val="en-US" w:eastAsia="zh-CN"/>
        </w:rPr>
        <w:t>增加9.31</w:t>
      </w:r>
      <w:r>
        <w:rPr>
          <w:rFonts w:hint="eastAsia" w:ascii="仿宋" w:hAnsi="仿宋" w:eastAsia="仿宋_GB2312"/>
          <w:sz w:val="32"/>
          <w:szCs w:val="32"/>
        </w:rPr>
        <w:t>%，</w:t>
      </w:r>
      <w:r>
        <w:rPr>
          <w:rFonts w:hint="eastAsia" w:ascii="仿宋" w:hAnsi="仿宋" w:eastAsia="仿宋_GB2312"/>
          <w:sz w:val="32"/>
          <w:szCs w:val="32"/>
          <w:lang w:val="en-US" w:eastAsia="zh-CN"/>
        </w:rPr>
        <w:t>增加</w:t>
      </w:r>
      <w:r>
        <w:rPr>
          <w:rFonts w:hint="eastAsia" w:ascii="仿宋" w:hAnsi="仿宋" w:eastAsia="仿宋_GB2312"/>
          <w:sz w:val="32"/>
          <w:szCs w:val="32"/>
        </w:rPr>
        <w:t>原因主要是</w:t>
      </w:r>
      <w:r>
        <w:rPr>
          <w:rFonts w:hint="eastAsia" w:ascii="仿宋" w:hAnsi="仿宋" w:eastAsia="仿宋_GB2312"/>
          <w:sz w:val="32"/>
          <w:szCs w:val="32"/>
          <w:lang w:val="en-US" w:eastAsia="zh-CN"/>
        </w:rPr>
        <w:t>行政人员工资普涨预算安排略有增加</w:t>
      </w:r>
      <w:r>
        <w:rPr>
          <w:rFonts w:hint="eastAsia" w:ascii="仿宋" w:hAnsi="仿宋" w:eastAsia="仿宋_GB2312"/>
          <w:sz w:val="32"/>
          <w:szCs w:val="32"/>
        </w:rPr>
        <w:t>。</w:t>
      </w:r>
    </w:p>
    <w:p w14:paraId="7486A5BC">
      <w:pPr>
        <w:adjustRightInd w:val="0"/>
        <w:snapToGrid w:val="0"/>
        <w:spacing w:line="600" w:lineRule="exact"/>
        <w:ind w:firstLine="643" w:firstLineChars="200"/>
        <w:rPr>
          <w:rFonts w:hint="eastAsia" w:ascii="仿宋" w:hAnsi="仿宋" w:eastAsia="仿宋_GB2312"/>
          <w:sz w:val="32"/>
          <w:szCs w:val="32"/>
        </w:rPr>
      </w:pPr>
      <w:r>
        <w:rPr>
          <w:rFonts w:hint="eastAsia" w:ascii="仿宋" w:hAnsi="仿宋" w:eastAsia="仿宋_GB2312"/>
          <w:b/>
          <w:sz w:val="32"/>
          <w:szCs w:val="32"/>
          <w:lang w:val="en-US" w:eastAsia="zh-CN"/>
        </w:rPr>
        <w:t>2</w:t>
      </w:r>
      <w:r>
        <w:rPr>
          <w:rFonts w:hint="eastAsia" w:ascii="仿宋" w:hAnsi="仿宋" w:eastAsia="仿宋_GB2312"/>
          <w:b/>
          <w:sz w:val="32"/>
          <w:szCs w:val="32"/>
        </w:rPr>
        <w:t>.公共安全支出（类）司法（款）一般行政管理事务（项）</w:t>
      </w:r>
      <w:r>
        <w:rPr>
          <w:rFonts w:hint="eastAsia" w:ascii="仿宋" w:hAnsi="仿宋" w:eastAsia="仿宋_GB2312"/>
          <w:sz w:val="32"/>
          <w:szCs w:val="32"/>
          <w:lang w:eastAsia="zh-CN"/>
        </w:rPr>
        <w:t>2025</w:t>
      </w:r>
      <w:r>
        <w:rPr>
          <w:rFonts w:hint="eastAsia" w:ascii="仿宋" w:hAnsi="仿宋" w:eastAsia="仿宋_GB2312"/>
          <w:sz w:val="32"/>
          <w:szCs w:val="32"/>
        </w:rPr>
        <w:t>年预算</w:t>
      </w:r>
      <w:r>
        <w:rPr>
          <w:rFonts w:hint="eastAsia" w:ascii="仿宋" w:hAnsi="仿宋" w:eastAsia="仿宋_GB2312"/>
          <w:sz w:val="32"/>
          <w:szCs w:val="32"/>
          <w:lang w:val="en-US" w:eastAsia="zh-CN"/>
        </w:rPr>
        <w:t>101.85</w:t>
      </w:r>
      <w:r>
        <w:rPr>
          <w:rFonts w:hint="eastAsia" w:ascii="仿宋" w:hAnsi="仿宋" w:eastAsia="仿宋_GB2312"/>
          <w:sz w:val="32"/>
          <w:szCs w:val="32"/>
        </w:rPr>
        <w:t>万元，比</w:t>
      </w:r>
      <w:r>
        <w:rPr>
          <w:rFonts w:hint="eastAsia" w:ascii="仿宋" w:hAnsi="仿宋" w:eastAsia="仿宋_GB2312"/>
          <w:sz w:val="32"/>
          <w:szCs w:val="32"/>
          <w:lang w:eastAsia="zh-CN"/>
        </w:rPr>
        <w:t>2024</w:t>
      </w:r>
      <w:r>
        <w:rPr>
          <w:rFonts w:hint="eastAsia" w:ascii="仿宋" w:hAnsi="仿宋" w:eastAsia="仿宋_GB2312"/>
          <w:sz w:val="32"/>
          <w:szCs w:val="32"/>
        </w:rPr>
        <w:t>年预算</w:t>
      </w:r>
      <w:r>
        <w:rPr>
          <w:rFonts w:hint="eastAsia" w:ascii="仿宋" w:hAnsi="仿宋" w:eastAsia="仿宋_GB2312"/>
          <w:sz w:val="32"/>
          <w:szCs w:val="32"/>
          <w:lang w:val="en-US" w:eastAsia="zh-CN"/>
        </w:rPr>
        <w:t>减少21.08</w:t>
      </w:r>
      <w:r>
        <w:rPr>
          <w:rFonts w:hint="eastAsia" w:ascii="仿宋" w:hAnsi="仿宋" w:eastAsia="仿宋_GB2312"/>
          <w:sz w:val="32"/>
          <w:szCs w:val="32"/>
        </w:rPr>
        <w:t>万元，</w:t>
      </w:r>
      <w:r>
        <w:rPr>
          <w:rFonts w:hint="eastAsia" w:ascii="仿宋" w:hAnsi="仿宋" w:eastAsia="仿宋_GB2312"/>
          <w:sz w:val="32"/>
          <w:szCs w:val="32"/>
          <w:lang w:val="en-US" w:eastAsia="zh-CN"/>
        </w:rPr>
        <w:t>减少17.15</w:t>
      </w:r>
      <w:r>
        <w:rPr>
          <w:rFonts w:hint="eastAsia" w:ascii="仿宋" w:hAnsi="仿宋" w:eastAsia="仿宋_GB2312"/>
          <w:sz w:val="32"/>
          <w:szCs w:val="32"/>
        </w:rPr>
        <w:t>%，</w:t>
      </w:r>
      <w:r>
        <w:rPr>
          <w:rFonts w:hint="eastAsia" w:ascii="仿宋" w:hAnsi="仿宋" w:eastAsia="仿宋_GB2312"/>
          <w:sz w:val="32"/>
          <w:szCs w:val="32"/>
          <w:lang w:val="en-US" w:eastAsia="zh-CN"/>
        </w:rPr>
        <w:t>减少</w:t>
      </w:r>
      <w:r>
        <w:rPr>
          <w:rFonts w:hint="eastAsia" w:ascii="仿宋" w:hAnsi="仿宋" w:eastAsia="仿宋_GB2312"/>
          <w:sz w:val="32"/>
          <w:szCs w:val="32"/>
        </w:rPr>
        <w:t>原因主要是</w:t>
      </w:r>
      <w:r>
        <w:rPr>
          <w:rFonts w:hint="eastAsia" w:ascii="仿宋" w:hAnsi="仿宋" w:eastAsia="仿宋_GB2312"/>
          <w:sz w:val="32"/>
          <w:szCs w:val="32"/>
          <w:lang w:val="en-US" w:eastAsia="zh-CN"/>
        </w:rPr>
        <w:t>按照财政局要求压减项目经费</w:t>
      </w:r>
      <w:r>
        <w:rPr>
          <w:rFonts w:hint="eastAsia" w:ascii="仿宋" w:hAnsi="仿宋" w:eastAsia="仿宋_GB2312"/>
          <w:sz w:val="32"/>
          <w:szCs w:val="32"/>
        </w:rPr>
        <w:t>。</w:t>
      </w:r>
    </w:p>
    <w:p w14:paraId="2A8CB76B">
      <w:pPr>
        <w:adjustRightInd w:val="0"/>
        <w:snapToGrid w:val="0"/>
        <w:spacing w:line="600" w:lineRule="exact"/>
        <w:ind w:firstLine="643" w:firstLineChars="200"/>
        <w:rPr>
          <w:rFonts w:ascii="仿宋" w:hAnsi="仿宋" w:eastAsia="仿宋_GB2312"/>
          <w:sz w:val="32"/>
          <w:szCs w:val="32"/>
        </w:rPr>
      </w:pPr>
      <w:r>
        <w:rPr>
          <w:rFonts w:hint="eastAsia" w:ascii="仿宋" w:hAnsi="仿宋" w:eastAsia="仿宋_GB2312"/>
          <w:b/>
          <w:sz w:val="32"/>
          <w:szCs w:val="32"/>
          <w:lang w:val="en-US" w:eastAsia="zh-CN"/>
        </w:rPr>
        <w:t>3</w:t>
      </w:r>
      <w:r>
        <w:rPr>
          <w:rFonts w:hint="eastAsia" w:ascii="仿宋" w:hAnsi="仿宋" w:eastAsia="仿宋_GB2312"/>
          <w:b/>
          <w:sz w:val="32"/>
          <w:szCs w:val="32"/>
        </w:rPr>
        <w:t>.公共安全支出（类）司法（款）</w:t>
      </w:r>
      <w:r>
        <w:rPr>
          <w:rFonts w:hint="eastAsia" w:ascii="仿宋" w:hAnsi="仿宋" w:eastAsia="仿宋_GB2312"/>
          <w:b/>
          <w:sz w:val="32"/>
          <w:szCs w:val="32"/>
          <w:lang w:val="en-US" w:eastAsia="zh-CN"/>
        </w:rPr>
        <w:t>公共法律服务</w:t>
      </w:r>
      <w:r>
        <w:rPr>
          <w:rFonts w:hint="eastAsia" w:ascii="仿宋" w:hAnsi="仿宋" w:eastAsia="仿宋_GB2312"/>
          <w:b/>
          <w:sz w:val="32"/>
          <w:szCs w:val="32"/>
        </w:rPr>
        <w:t>（项）</w:t>
      </w:r>
      <w:r>
        <w:rPr>
          <w:rFonts w:hint="eastAsia" w:ascii="仿宋" w:hAnsi="仿宋" w:eastAsia="仿宋_GB2312"/>
          <w:sz w:val="32"/>
          <w:szCs w:val="32"/>
          <w:lang w:eastAsia="zh-CN"/>
        </w:rPr>
        <w:t>2025</w:t>
      </w:r>
      <w:r>
        <w:rPr>
          <w:rFonts w:hint="eastAsia" w:ascii="仿宋" w:hAnsi="仿宋" w:eastAsia="仿宋_GB2312"/>
          <w:sz w:val="32"/>
          <w:szCs w:val="32"/>
        </w:rPr>
        <w:t>年预算</w:t>
      </w:r>
      <w:r>
        <w:rPr>
          <w:rFonts w:hint="eastAsia" w:ascii="仿宋" w:hAnsi="仿宋" w:eastAsia="仿宋_GB2312"/>
          <w:sz w:val="32"/>
          <w:szCs w:val="32"/>
          <w:lang w:val="en-US" w:eastAsia="zh-CN"/>
        </w:rPr>
        <w:t>21.9</w:t>
      </w:r>
      <w:r>
        <w:rPr>
          <w:rFonts w:hint="eastAsia" w:ascii="仿宋" w:hAnsi="仿宋" w:eastAsia="仿宋_GB2312"/>
          <w:sz w:val="32"/>
          <w:szCs w:val="32"/>
        </w:rPr>
        <w:t>万元，</w:t>
      </w:r>
      <w:r>
        <w:rPr>
          <w:rFonts w:hint="eastAsia" w:ascii="仿宋" w:hAnsi="仿宋" w:eastAsia="仿宋_GB2312"/>
          <w:sz w:val="32"/>
          <w:szCs w:val="32"/>
          <w:lang w:val="en-US" w:eastAsia="zh-CN"/>
        </w:rPr>
        <w:t>与</w:t>
      </w:r>
      <w:r>
        <w:rPr>
          <w:rFonts w:hint="eastAsia" w:ascii="仿宋" w:hAnsi="仿宋" w:eastAsia="仿宋_GB2312"/>
          <w:sz w:val="32"/>
          <w:szCs w:val="32"/>
          <w:lang w:eastAsia="zh-CN"/>
        </w:rPr>
        <w:t>2024</w:t>
      </w:r>
      <w:r>
        <w:rPr>
          <w:rFonts w:hint="eastAsia" w:ascii="仿宋" w:hAnsi="仿宋" w:eastAsia="仿宋_GB2312"/>
          <w:sz w:val="32"/>
          <w:szCs w:val="32"/>
        </w:rPr>
        <w:t>年预算</w:t>
      </w:r>
      <w:r>
        <w:rPr>
          <w:rFonts w:hint="eastAsia" w:ascii="仿宋" w:hAnsi="仿宋" w:eastAsia="仿宋_GB2312"/>
          <w:sz w:val="32"/>
          <w:szCs w:val="32"/>
          <w:lang w:val="en-US" w:eastAsia="zh-CN"/>
        </w:rPr>
        <w:t>持平</w:t>
      </w:r>
      <w:r>
        <w:rPr>
          <w:rFonts w:hint="eastAsia" w:ascii="仿宋" w:hAnsi="仿宋" w:eastAsia="仿宋_GB2312"/>
          <w:sz w:val="32"/>
          <w:szCs w:val="32"/>
        </w:rPr>
        <w:t>。</w:t>
      </w:r>
    </w:p>
    <w:p w14:paraId="5643FB46">
      <w:pPr>
        <w:adjustRightInd w:val="0"/>
        <w:snapToGrid w:val="0"/>
        <w:spacing w:line="600" w:lineRule="exact"/>
        <w:ind w:firstLine="643" w:firstLineChars="200"/>
        <w:rPr>
          <w:rFonts w:hint="eastAsia" w:ascii="仿宋" w:hAnsi="仿宋" w:eastAsia="仿宋_GB2312"/>
          <w:sz w:val="32"/>
          <w:szCs w:val="32"/>
        </w:rPr>
      </w:pPr>
      <w:r>
        <w:rPr>
          <w:rFonts w:hint="eastAsia" w:ascii="仿宋" w:hAnsi="仿宋" w:eastAsia="仿宋_GB2312"/>
          <w:b/>
          <w:sz w:val="32"/>
          <w:szCs w:val="32"/>
          <w:lang w:val="en-US" w:eastAsia="zh-CN"/>
        </w:rPr>
        <w:t>4</w:t>
      </w:r>
      <w:r>
        <w:rPr>
          <w:rFonts w:hint="eastAsia" w:ascii="仿宋" w:hAnsi="仿宋" w:eastAsia="仿宋_GB2312"/>
          <w:b/>
          <w:sz w:val="32"/>
          <w:szCs w:val="32"/>
        </w:rPr>
        <w:t>.公共安全支出（类）司法（款）</w:t>
      </w:r>
      <w:r>
        <w:rPr>
          <w:rFonts w:hint="eastAsia" w:ascii="仿宋" w:hAnsi="仿宋" w:eastAsia="仿宋_GB2312"/>
          <w:b/>
          <w:sz w:val="32"/>
          <w:szCs w:val="32"/>
          <w:lang w:val="en-US" w:eastAsia="zh-CN"/>
        </w:rPr>
        <w:t>事业运行</w:t>
      </w:r>
      <w:r>
        <w:rPr>
          <w:rFonts w:hint="eastAsia" w:ascii="仿宋" w:hAnsi="仿宋" w:eastAsia="仿宋_GB2312"/>
          <w:b/>
          <w:sz w:val="32"/>
          <w:szCs w:val="32"/>
        </w:rPr>
        <w:t>（项）</w:t>
      </w:r>
      <w:r>
        <w:rPr>
          <w:rFonts w:hint="eastAsia" w:ascii="仿宋" w:hAnsi="仿宋" w:eastAsia="仿宋_GB2312"/>
          <w:sz w:val="32"/>
          <w:szCs w:val="32"/>
          <w:lang w:eastAsia="zh-CN"/>
        </w:rPr>
        <w:t>2025</w:t>
      </w:r>
      <w:r>
        <w:rPr>
          <w:rFonts w:hint="eastAsia" w:ascii="仿宋" w:hAnsi="仿宋" w:eastAsia="仿宋_GB2312"/>
          <w:sz w:val="32"/>
          <w:szCs w:val="32"/>
        </w:rPr>
        <w:t>年预算</w:t>
      </w:r>
      <w:r>
        <w:rPr>
          <w:rFonts w:hint="eastAsia" w:ascii="仿宋" w:hAnsi="仿宋" w:eastAsia="仿宋_GB2312"/>
          <w:sz w:val="32"/>
          <w:szCs w:val="32"/>
          <w:lang w:val="en-US" w:eastAsia="zh-CN"/>
        </w:rPr>
        <w:t>147.34</w:t>
      </w:r>
      <w:r>
        <w:rPr>
          <w:rFonts w:hint="eastAsia" w:ascii="仿宋" w:hAnsi="仿宋" w:eastAsia="仿宋_GB2312"/>
          <w:sz w:val="32"/>
          <w:szCs w:val="32"/>
        </w:rPr>
        <w:t>万元，比</w:t>
      </w:r>
      <w:r>
        <w:rPr>
          <w:rFonts w:hint="eastAsia" w:ascii="仿宋" w:hAnsi="仿宋" w:eastAsia="仿宋_GB2312"/>
          <w:sz w:val="32"/>
          <w:szCs w:val="32"/>
          <w:lang w:eastAsia="zh-CN"/>
        </w:rPr>
        <w:t>2024</w:t>
      </w:r>
      <w:r>
        <w:rPr>
          <w:rFonts w:hint="eastAsia" w:ascii="仿宋" w:hAnsi="仿宋" w:eastAsia="仿宋_GB2312"/>
          <w:sz w:val="32"/>
          <w:szCs w:val="32"/>
        </w:rPr>
        <w:t>年预算</w:t>
      </w:r>
      <w:r>
        <w:rPr>
          <w:rFonts w:hint="eastAsia" w:ascii="仿宋" w:hAnsi="仿宋" w:eastAsia="仿宋_GB2312"/>
          <w:sz w:val="32"/>
          <w:szCs w:val="32"/>
          <w:lang w:val="en-US" w:eastAsia="zh-CN"/>
        </w:rPr>
        <w:t>增加4.4</w:t>
      </w:r>
      <w:r>
        <w:rPr>
          <w:rFonts w:hint="eastAsia" w:ascii="仿宋" w:hAnsi="仿宋" w:eastAsia="仿宋_GB2312"/>
          <w:sz w:val="32"/>
          <w:szCs w:val="32"/>
        </w:rPr>
        <w:t>万元，</w:t>
      </w:r>
      <w:r>
        <w:rPr>
          <w:rFonts w:hint="eastAsia" w:ascii="仿宋" w:hAnsi="仿宋" w:eastAsia="仿宋_GB2312"/>
          <w:sz w:val="32"/>
          <w:szCs w:val="32"/>
          <w:lang w:val="en-US" w:eastAsia="zh-CN"/>
        </w:rPr>
        <w:t>增加3.08</w:t>
      </w:r>
      <w:r>
        <w:rPr>
          <w:rFonts w:hint="eastAsia" w:ascii="仿宋" w:hAnsi="仿宋" w:eastAsia="仿宋_GB2312"/>
          <w:sz w:val="32"/>
          <w:szCs w:val="32"/>
        </w:rPr>
        <w:t>%，</w:t>
      </w:r>
      <w:r>
        <w:rPr>
          <w:rFonts w:hint="eastAsia" w:ascii="仿宋" w:hAnsi="仿宋" w:eastAsia="仿宋_GB2312"/>
          <w:sz w:val="32"/>
          <w:szCs w:val="32"/>
          <w:lang w:val="en-US" w:eastAsia="zh-CN"/>
        </w:rPr>
        <w:t>增加</w:t>
      </w:r>
      <w:r>
        <w:rPr>
          <w:rFonts w:hint="eastAsia" w:ascii="仿宋" w:hAnsi="仿宋" w:eastAsia="仿宋_GB2312"/>
          <w:sz w:val="32"/>
          <w:szCs w:val="32"/>
        </w:rPr>
        <w:t>原因主要是</w:t>
      </w:r>
      <w:r>
        <w:rPr>
          <w:rFonts w:hint="eastAsia" w:ascii="仿宋" w:hAnsi="仿宋" w:eastAsia="仿宋_GB2312"/>
          <w:sz w:val="32"/>
          <w:szCs w:val="32"/>
          <w:lang w:val="en-US" w:eastAsia="zh-CN"/>
        </w:rPr>
        <w:t>事业人员工资安排预算增加</w:t>
      </w:r>
      <w:r>
        <w:rPr>
          <w:rFonts w:hint="eastAsia" w:ascii="仿宋" w:hAnsi="仿宋" w:eastAsia="仿宋_GB2312"/>
          <w:sz w:val="32"/>
          <w:szCs w:val="32"/>
        </w:rPr>
        <w:t>。</w:t>
      </w:r>
    </w:p>
    <w:p w14:paraId="035D2AE3">
      <w:pPr>
        <w:adjustRightInd w:val="0"/>
        <w:snapToGrid w:val="0"/>
        <w:spacing w:line="600" w:lineRule="exact"/>
        <w:ind w:firstLine="643" w:firstLineChars="200"/>
        <w:rPr>
          <w:rFonts w:hint="eastAsia" w:ascii="仿宋" w:hAnsi="仿宋" w:eastAsia="仿宋_GB2312"/>
          <w:sz w:val="32"/>
          <w:szCs w:val="32"/>
        </w:rPr>
      </w:pPr>
      <w:r>
        <w:rPr>
          <w:rFonts w:hint="eastAsia" w:ascii="仿宋" w:hAnsi="仿宋" w:eastAsia="仿宋_GB2312"/>
          <w:b/>
          <w:sz w:val="32"/>
          <w:szCs w:val="32"/>
          <w:lang w:val="en-US" w:eastAsia="zh-CN"/>
        </w:rPr>
        <w:t>5</w:t>
      </w:r>
      <w:r>
        <w:rPr>
          <w:rFonts w:hint="eastAsia" w:ascii="仿宋" w:hAnsi="仿宋" w:eastAsia="仿宋_GB2312"/>
          <w:b/>
          <w:sz w:val="32"/>
          <w:szCs w:val="32"/>
        </w:rPr>
        <w:t>.社会保障和就业支出（类）行政事业单位养老支出（款）行政单位离退休（项）</w:t>
      </w:r>
      <w:r>
        <w:rPr>
          <w:rFonts w:hint="eastAsia" w:ascii="仿宋" w:hAnsi="仿宋" w:eastAsia="仿宋_GB2312"/>
          <w:sz w:val="32"/>
          <w:szCs w:val="32"/>
          <w:lang w:eastAsia="zh-CN"/>
        </w:rPr>
        <w:t>2025</w:t>
      </w:r>
      <w:r>
        <w:rPr>
          <w:rFonts w:hint="eastAsia" w:ascii="仿宋" w:hAnsi="仿宋" w:eastAsia="仿宋_GB2312"/>
          <w:sz w:val="32"/>
          <w:szCs w:val="32"/>
        </w:rPr>
        <w:t>年预算</w:t>
      </w:r>
      <w:r>
        <w:rPr>
          <w:rFonts w:hint="eastAsia" w:ascii="仿宋" w:hAnsi="仿宋" w:eastAsia="仿宋_GB2312"/>
          <w:sz w:val="32"/>
          <w:szCs w:val="32"/>
          <w:lang w:val="en-US" w:eastAsia="zh-CN"/>
        </w:rPr>
        <w:t>211.72</w:t>
      </w:r>
      <w:r>
        <w:rPr>
          <w:rFonts w:hint="eastAsia" w:ascii="仿宋" w:hAnsi="仿宋" w:eastAsia="仿宋_GB2312"/>
          <w:sz w:val="32"/>
          <w:szCs w:val="32"/>
        </w:rPr>
        <w:t>万元，比</w:t>
      </w:r>
      <w:r>
        <w:rPr>
          <w:rFonts w:hint="eastAsia" w:ascii="仿宋" w:hAnsi="仿宋" w:eastAsia="仿宋_GB2312"/>
          <w:sz w:val="32"/>
          <w:szCs w:val="32"/>
          <w:lang w:eastAsia="zh-CN"/>
        </w:rPr>
        <w:t>2024</w:t>
      </w:r>
      <w:r>
        <w:rPr>
          <w:rFonts w:hint="eastAsia" w:ascii="仿宋" w:hAnsi="仿宋" w:eastAsia="仿宋_GB2312"/>
          <w:sz w:val="32"/>
          <w:szCs w:val="32"/>
        </w:rPr>
        <w:t>年预算</w:t>
      </w:r>
      <w:r>
        <w:rPr>
          <w:rFonts w:hint="eastAsia" w:ascii="仿宋" w:hAnsi="仿宋" w:eastAsia="仿宋_GB2312"/>
          <w:sz w:val="32"/>
          <w:szCs w:val="32"/>
          <w:lang w:val="en-US" w:eastAsia="zh-CN"/>
        </w:rPr>
        <w:t>增加0.14</w:t>
      </w:r>
      <w:r>
        <w:rPr>
          <w:rFonts w:hint="eastAsia" w:ascii="仿宋" w:hAnsi="仿宋" w:eastAsia="仿宋_GB2312"/>
          <w:sz w:val="32"/>
          <w:szCs w:val="32"/>
        </w:rPr>
        <w:t>万元，</w:t>
      </w:r>
      <w:r>
        <w:rPr>
          <w:rFonts w:hint="eastAsia" w:ascii="仿宋" w:hAnsi="仿宋" w:eastAsia="仿宋_GB2312"/>
          <w:sz w:val="32"/>
          <w:szCs w:val="32"/>
          <w:lang w:val="en-US" w:eastAsia="zh-CN"/>
        </w:rPr>
        <w:t>增长0.06</w:t>
      </w:r>
      <w:r>
        <w:rPr>
          <w:rFonts w:hint="eastAsia" w:ascii="仿宋" w:hAnsi="仿宋" w:eastAsia="仿宋_GB2312"/>
          <w:sz w:val="32"/>
          <w:szCs w:val="32"/>
        </w:rPr>
        <w:t>%，</w:t>
      </w:r>
      <w:r>
        <w:rPr>
          <w:rFonts w:hint="eastAsia" w:ascii="仿宋" w:hAnsi="仿宋" w:eastAsia="仿宋_GB2312"/>
          <w:sz w:val="32"/>
          <w:szCs w:val="32"/>
          <w:lang w:val="en-US" w:eastAsia="zh-CN"/>
        </w:rPr>
        <w:t>增长</w:t>
      </w:r>
      <w:r>
        <w:rPr>
          <w:rFonts w:hint="eastAsia" w:ascii="仿宋" w:hAnsi="仿宋" w:eastAsia="仿宋_GB2312"/>
          <w:sz w:val="32"/>
          <w:szCs w:val="32"/>
        </w:rPr>
        <w:t>原因主要是</w:t>
      </w:r>
      <w:r>
        <w:rPr>
          <w:rFonts w:hint="eastAsia" w:ascii="仿宋" w:hAnsi="仿宋" w:eastAsia="仿宋_GB2312"/>
          <w:sz w:val="32"/>
          <w:szCs w:val="32"/>
          <w:lang w:val="en-US" w:eastAsia="zh-CN"/>
        </w:rPr>
        <w:t>预算安排</w:t>
      </w:r>
      <w:r>
        <w:rPr>
          <w:rFonts w:hint="eastAsia" w:ascii="仿宋" w:hAnsi="仿宋" w:eastAsia="仿宋_GB2312"/>
          <w:sz w:val="32"/>
          <w:szCs w:val="32"/>
          <w:lang w:eastAsia="zh-CN"/>
        </w:rPr>
        <w:t>离退休人员</w:t>
      </w:r>
      <w:r>
        <w:rPr>
          <w:rFonts w:hint="eastAsia" w:ascii="仿宋" w:hAnsi="仿宋" w:eastAsia="仿宋_GB2312"/>
          <w:sz w:val="32"/>
          <w:szCs w:val="32"/>
          <w:lang w:val="en-US" w:eastAsia="zh-CN"/>
        </w:rPr>
        <w:t>绩效</w:t>
      </w:r>
      <w:r>
        <w:rPr>
          <w:rFonts w:hint="eastAsia" w:ascii="仿宋" w:hAnsi="仿宋" w:eastAsia="仿宋_GB2312"/>
          <w:sz w:val="32"/>
          <w:szCs w:val="32"/>
          <w:lang w:eastAsia="zh-CN"/>
        </w:rPr>
        <w:t>工资</w:t>
      </w:r>
      <w:r>
        <w:rPr>
          <w:rFonts w:hint="eastAsia" w:ascii="仿宋" w:hAnsi="仿宋" w:eastAsia="仿宋_GB2312"/>
          <w:sz w:val="32"/>
          <w:szCs w:val="32"/>
        </w:rPr>
        <w:t>。</w:t>
      </w:r>
    </w:p>
    <w:p w14:paraId="329B8E8A">
      <w:pPr>
        <w:adjustRightInd w:val="0"/>
        <w:snapToGrid w:val="0"/>
        <w:spacing w:line="600" w:lineRule="exact"/>
        <w:ind w:firstLine="643" w:firstLineChars="200"/>
        <w:rPr>
          <w:rFonts w:ascii="仿宋" w:hAnsi="仿宋" w:eastAsia="仿宋_GB2312"/>
          <w:sz w:val="32"/>
          <w:szCs w:val="32"/>
        </w:rPr>
      </w:pPr>
      <w:r>
        <w:rPr>
          <w:rFonts w:hint="eastAsia" w:ascii="仿宋" w:hAnsi="仿宋" w:eastAsia="仿宋_GB2312"/>
          <w:b/>
          <w:sz w:val="32"/>
          <w:szCs w:val="32"/>
          <w:lang w:val="en-US" w:eastAsia="zh-CN"/>
        </w:rPr>
        <w:t>6</w:t>
      </w:r>
      <w:r>
        <w:rPr>
          <w:rFonts w:hint="eastAsia" w:ascii="仿宋" w:hAnsi="仿宋" w:eastAsia="仿宋_GB2312"/>
          <w:b/>
          <w:sz w:val="32"/>
          <w:szCs w:val="32"/>
        </w:rPr>
        <w:t>.社会保障和就业支出（类）行政事业单位养老支出（款）　机关事业单位基本养老保险缴费支出（项）</w:t>
      </w:r>
      <w:r>
        <w:rPr>
          <w:rFonts w:hint="eastAsia" w:ascii="仿宋" w:hAnsi="仿宋" w:eastAsia="仿宋_GB2312"/>
          <w:sz w:val="32"/>
          <w:szCs w:val="32"/>
          <w:lang w:eastAsia="zh-CN"/>
        </w:rPr>
        <w:t>2025</w:t>
      </w:r>
      <w:r>
        <w:rPr>
          <w:rFonts w:hint="eastAsia" w:ascii="仿宋" w:hAnsi="仿宋" w:eastAsia="仿宋_GB2312"/>
          <w:sz w:val="32"/>
          <w:szCs w:val="32"/>
        </w:rPr>
        <w:t>年预算</w:t>
      </w:r>
      <w:r>
        <w:rPr>
          <w:rFonts w:hint="eastAsia" w:ascii="仿宋" w:hAnsi="仿宋" w:eastAsia="仿宋_GB2312"/>
          <w:sz w:val="32"/>
          <w:szCs w:val="32"/>
          <w:lang w:val="en-US" w:eastAsia="zh-CN"/>
        </w:rPr>
        <w:t>97.27</w:t>
      </w:r>
      <w:r>
        <w:rPr>
          <w:rFonts w:hint="eastAsia" w:ascii="仿宋" w:hAnsi="仿宋" w:eastAsia="仿宋_GB2312"/>
          <w:sz w:val="32"/>
          <w:szCs w:val="32"/>
        </w:rPr>
        <w:t>万元，比</w:t>
      </w:r>
      <w:r>
        <w:rPr>
          <w:rFonts w:hint="eastAsia" w:ascii="仿宋" w:hAnsi="仿宋" w:eastAsia="仿宋_GB2312"/>
          <w:sz w:val="32"/>
          <w:szCs w:val="32"/>
          <w:lang w:eastAsia="zh-CN"/>
        </w:rPr>
        <w:t>2024</w:t>
      </w:r>
      <w:r>
        <w:rPr>
          <w:rFonts w:hint="eastAsia" w:ascii="仿宋" w:hAnsi="仿宋" w:eastAsia="仿宋_GB2312"/>
          <w:sz w:val="32"/>
          <w:szCs w:val="32"/>
        </w:rPr>
        <w:t>年预算</w:t>
      </w:r>
      <w:r>
        <w:rPr>
          <w:rFonts w:hint="eastAsia" w:ascii="仿宋" w:hAnsi="仿宋" w:eastAsia="仿宋_GB2312"/>
          <w:sz w:val="32"/>
          <w:szCs w:val="32"/>
          <w:lang w:val="en-US" w:eastAsia="zh-CN"/>
        </w:rPr>
        <w:t>增长7.45</w:t>
      </w:r>
      <w:r>
        <w:rPr>
          <w:rFonts w:hint="eastAsia" w:ascii="仿宋" w:hAnsi="仿宋" w:eastAsia="仿宋_GB2312"/>
          <w:sz w:val="32"/>
          <w:szCs w:val="32"/>
        </w:rPr>
        <w:t>万元，</w:t>
      </w:r>
      <w:r>
        <w:rPr>
          <w:rFonts w:hint="eastAsia" w:ascii="仿宋" w:hAnsi="仿宋" w:eastAsia="仿宋_GB2312"/>
          <w:sz w:val="32"/>
          <w:szCs w:val="32"/>
          <w:lang w:val="en-US" w:eastAsia="zh-CN"/>
        </w:rPr>
        <w:t>增加8.3</w:t>
      </w:r>
      <w:r>
        <w:rPr>
          <w:rFonts w:hint="eastAsia" w:ascii="仿宋" w:hAnsi="仿宋" w:eastAsia="仿宋_GB2312"/>
          <w:sz w:val="32"/>
          <w:szCs w:val="32"/>
        </w:rPr>
        <w:t>%</w:t>
      </w:r>
      <w:r>
        <w:rPr>
          <w:rFonts w:hint="eastAsia" w:ascii="仿宋" w:hAnsi="仿宋" w:eastAsia="仿宋_GB2312"/>
          <w:sz w:val="32"/>
          <w:szCs w:val="32"/>
          <w:lang w:val="en-US" w:eastAsia="zh-CN"/>
        </w:rPr>
        <w:t>，增长原因主要是养老保险基数增加</w:t>
      </w:r>
      <w:r>
        <w:rPr>
          <w:rFonts w:hint="eastAsia" w:ascii="仿宋" w:hAnsi="仿宋" w:eastAsia="仿宋_GB2312"/>
          <w:sz w:val="32"/>
          <w:szCs w:val="32"/>
        </w:rPr>
        <w:t>。</w:t>
      </w:r>
    </w:p>
    <w:p w14:paraId="27BF8C84">
      <w:pPr>
        <w:adjustRightInd w:val="0"/>
        <w:snapToGrid w:val="0"/>
        <w:spacing w:line="600" w:lineRule="exact"/>
        <w:ind w:firstLine="643" w:firstLineChars="200"/>
        <w:rPr>
          <w:rFonts w:hint="eastAsia" w:ascii="仿宋" w:hAnsi="仿宋" w:eastAsia="仿宋_GB2312"/>
          <w:sz w:val="32"/>
          <w:szCs w:val="32"/>
        </w:rPr>
      </w:pPr>
      <w:r>
        <w:rPr>
          <w:rFonts w:hint="eastAsia" w:ascii="仿宋" w:hAnsi="仿宋" w:eastAsia="仿宋_GB2312"/>
          <w:b/>
          <w:sz w:val="32"/>
          <w:szCs w:val="32"/>
          <w:lang w:val="en-US" w:eastAsia="zh-CN"/>
        </w:rPr>
        <w:t>7</w:t>
      </w:r>
      <w:r>
        <w:rPr>
          <w:rFonts w:hint="eastAsia" w:ascii="仿宋" w:hAnsi="仿宋" w:eastAsia="仿宋_GB2312"/>
          <w:b/>
          <w:sz w:val="32"/>
          <w:szCs w:val="32"/>
        </w:rPr>
        <w:t>.社会保障和就业支出（类）行政事业单位离退休（款）　机关事业单位职业年金缴费支出（项）</w:t>
      </w:r>
      <w:r>
        <w:rPr>
          <w:rFonts w:hint="eastAsia" w:ascii="仿宋" w:hAnsi="仿宋" w:eastAsia="仿宋_GB2312"/>
          <w:sz w:val="32"/>
          <w:szCs w:val="32"/>
          <w:lang w:eastAsia="zh-CN"/>
        </w:rPr>
        <w:t>2025</w:t>
      </w:r>
      <w:r>
        <w:rPr>
          <w:rFonts w:hint="eastAsia" w:ascii="仿宋" w:hAnsi="仿宋" w:eastAsia="仿宋_GB2312"/>
          <w:sz w:val="32"/>
          <w:szCs w:val="32"/>
        </w:rPr>
        <w:t>年预算</w:t>
      </w:r>
      <w:r>
        <w:rPr>
          <w:rFonts w:hint="eastAsia" w:ascii="仿宋" w:hAnsi="仿宋" w:eastAsia="仿宋_GB2312"/>
          <w:sz w:val="32"/>
          <w:szCs w:val="32"/>
          <w:lang w:val="en-US" w:eastAsia="zh-CN"/>
        </w:rPr>
        <w:t>48.63</w:t>
      </w:r>
      <w:r>
        <w:rPr>
          <w:rFonts w:hint="eastAsia" w:ascii="仿宋" w:hAnsi="仿宋" w:eastAsia="仿宋_GB2312"/>
          <w:sz w:val="32"/>
          <w:szCs w:val="32"/>
        </w:rPr>
        <w:t>万元，比</w:t>
      </w:r>
      <w:r>
        <w:rPr>
          <w:rFonts w:hint="eastAsia" w:ascii="仿宋" w:hAnsi="仿宋" w:eastAsia="仿宋_GB2312"/>
          <w:sz w:val="32"/>
          <w:szCs w:val="32"/>
          <w:lang w:eastAsia="zh-CN"/>
        </w:rPr>
        <w:t>2024</w:t>
      </w:r>
      <w:r>
        <w:rPr>
          <w:rFonts w:hint="eastAsia" w:ascii="仿宋" w:hAnsi="仿宋" w:eastAsia="仿宋_GB2312"/>
          <w:sz w:val="32"/>
          <w:szCs w:val="32"/>
        </w:rPr>
        <w:t>年预算增加</w:t>
      </w:r>
      <w:r>
        <w:rPr>
          <w:rFonts w:hint="eastAsia" w:ascii="仿宋" w:hAnsi="仿宋" w:eastAsia="仿宋_GB2312"/>
          <w:sz w:val="32"/>
          <w:szCs w:val="32"/>
          <w:lang w:val="en-US" w:eastAsia="zh-CN"/>
        </w:rPr>
        <w:t>3.73</w:t>
      </w:r>
      <w:r>
        <w:rPr>
          <w:rFonts w:hint="eastAsia" w:ascii="仿宋" w:hAnsi="仿宋" w:eastAsia="仿宋_GB2312"/>
          <w:sz w:val="32"/>
          <w:szCs w:val="32"/>
        </w:rPr>
        <w:t>万元，增长</w:t>
      </w:r>
      <w:r>
        <w:rPr>
          <w:rFonts w:hint="eastAsia" w:ascii="仿宋" w:hAnsi="仿宋" w:eastAsia="仿宋_GB2312"/>
          <w:sz w:val="32"/>
          <w:szCs w:val="32"/>
          <w:lang w:val="en-US" w:eastAsia="zh-CN"/>
        </w:rPr>
        <w:t>8.3</w:t>
      </w:r>
      <w:r>
        <w:rPr>
          <w:rFonts w:hint="eastAsia" w:ascii="仿宋" w:hAnsi="仿宋" w:eastAsia="仿宋_GB2312"/>
          <w:sz w:val="32"/>
          <w:szCs w:val="32"/>
        </w:rPr>
        <w:t>%，增长原因主要是</w:t>
      </w:r>
      <w:r>
        <w:rPr>
          <w:rFonts w:hint="eastAsia" w:ascii="仿宋" w:hAnsi="仿宋" w:eastAsia="仿宋_GB2312"/>
          <w:sz w:val="32"/>
          <w:szCs w:val="32"/>
          <w:lang w:val="en-US" w:eastAsia="zh-CN"/>
        </w:rPr>
        <w:t>预算安排职业年金支出增加</w:t>
      </w:r>
      <w:r>
        <w:rPr>
          <w:rFonts w:hint="eastAsia" w:ascii="仿宋" w:hAnsi="仿宋" w:eastAsia="仿宋_GB2312"/>
          <w:sz w:val="32"/>
          <w:szCs w:val="32"/>
        </w:rPr>
        <w:t>。</w:t>
      </w:r>
    </w:p>
    <w:p w14:paraId="3BEF0331">
      <w:pPr>
        <w:adjustRightInd w:val="0"/>
        <w:snapToGrid w:val="0"/>
        <w:spacing w:line="600" w:lineRule="exact"/>
        <w:ind w:firstLine="643" w:firstLineChars="200"/>
        <w:rPr>
          <w:rFonts w:hint="eastAsia" w:ascii="仿宋" w:hAnsi="仿宋" w:eastAsia="仿宋_GB2312"/>
          <w:sz w:val="32"/>
          <w:szCs w:val="32"/>
        </w:rPr>
      </w:pPr>
      <w:r>
        <w:rPr>
          <w:rFonts w:hint="eastAsia" w:ascii="仿宋" w:hAnsi="仿宋" w:eastAsia="仿宋_GB2312"/>
          <w:b/>
          <w:sz w:val="32"/>
          <w:szCs w:val="32"/>
          <w:lang w:val="en-US" w:eastAsia="zh-CN"/>
        </w:rPr>
        <w:t>8</w:t>
      </w:r>
      <w:r>
        <w:rPr>
          <w:rFonts w:hint="eastAsia" w:ascii="仿宋" w:hAnsi="仿宋" w:eastAsia="仿宋_GB2312"/>
          <w:b/>
          <w:sz w:val="32"/>
          <w:szCs w:val="32"/>
        </w:rPr>
        <w:t>.社会保障和就业支出（类）其他社会保障和就业支出（款）　其他社会保障和就业支出（项）</w:t>
      </w:r>
      <w:r>
        <w:rPr>
          <w:rFonts w:hint="eastAsia" w:ascii="仿宋" w:hAnsi="仿宋" w:eastAsia="仿宋_GB2312"/>
          <w:sz w:val="32"/>
          <w:szCs w:val="32"/>
          <w:lang w:eastAsia="zh-CN"/>
        </w:rPr>
        <w:t>2025</w:t>
      </w:r>
      <w:r>
        <w:rPr>
          <w:rFonts w:hint="eastAsia" w:ascii="仿宋" w:hAnsi="仿宋" w:eastAsia="仿宋_GB2312"/>
          <w:sz w:val="32"/>
          <w:szCs w:val="32"/>
        </w:rPr>
        <w:t>年预算</w:t>
      </w:r>
      <w:r>
        <w:rPr>
          <w:rFonts w:hint="eastAsia" w:ascii="仿宋" w:hAnsi="仿宋" w:eastAsia="仿宋_GB2312"/>
          <w:sz w:val="32"/>
          <w:szCs w:val="32"/>
          <w:lang w:val="en-US" w:eastAsia="zh-CN"/>
        </w:rPr>
        <w:t>1.45</w:t>
      </w:r>
      <w:r>
        <w:rPr>
          <w:rFonts w:hint="eastAsia" w:ascii="仿宋" w:hAnsi="仿宋" w:eastAsia="仿宋_GB2312"/>
          <w:sz w:val="32"/>
          <w:szCs w:val="32"/>
        </w:rPr>
        <w:t>万元，比</w:t>
      </w:r>
      <w:r>
        <w:rPr>
          <w:rFonts w:hint="eastAsia" w:ascii="仿宋" w:hAnsi="仿宋" w:eastAsia="仿宋_GB2312"/>
          <w:sz w:val="32"/>
          <w:szCs w:val="32"/>
          <w:lang w:eastAsia="zh-CN"/>
        </w:rPr>
        <w:t>2024</w:t>
      </w:r>
      <w:r>
        <w:rPr>
          <w:rFonts w:hint="eastAsia" w:ascii="仿宋" w:hAnsi="仿宋" w:eastAsia="仿宋_GB2312"/>
          <w:sz w:val="32"/>
          <w:szCs w:val="32"/>
        </w:rPr>
        <w:t>年预算增加</w:t>
      </w:r>
      <w:r>
        <w:rPr>
          <w:rFonts w:hint="eastAsia" w:ascii="仿宋" w:hAnsi="仿宋" w:eastAsia="仿宋_GB2312"/>
          <w:sz w:val="32"/>
          <w:szCs w:val="32"/>
          <w:lang w:val="en-US" w:eastAsia="zh-CN"/>
        </w:rPr>
        <w:t>0.09</w:t>
      </w:r>
      <w:r>
        <w:rPr>
          <w:rFonts w:hint="eastAsia" w:ascii="仿宋" w:hAnsi="仿宋" w:eastAsia="仿宋_GB2312"/>
          <w:sz w:val="32"/>
          <w:szCs w:val="32"/>
        </w:rPr>
        <w:t>万元，增长</w:t>
      </w:r>
      <w:r>
        <w:rPr>
          <w:rFonts w:hint="eastAsia" w:ascii="仿宋" w:hAnsi="仿宋" w:eastAsia="仿宋_GB2312"/>
          <w:sz w:val="32"/>
          <w:szCs w:val="32"/>
          <w:lang w:val="en-US" w:eastAsia="zh-CN"/>
        </w:rPr>
        <w:t>6.35</w:t>
      </w:r>
      <w:r>
        <w:rPr>
          <w:rFonts w:hint="eastAsia" w:ascii="仿宋" w:hAnsi="仿宋" w:eastAsia="仿宋_GB2312"/>
          <w:sz w:val="32"/>
          <w:szCs w:val="32"/>
        </w:rPr>
        <w:t>%，增长原因主要是</w:t>
      </w:r>
      <w:r>
        <w:rPr>
          <w:rFonts w:hint="eastAsia" w:ascii="仿宋" w:hAnsi="仿宋" w:eastAsia="仿宋_GB2312"/>
          <w:sz w:val="32"/>
          <w:szCs w:val="32"/>
          <w:lang w:val="en-US" w:eastAsia="zh-CN"/>
        </w:rPr>
        <w:t>预算安排其他社会保险支出增加</w:t>
      </w:r>
      <w:r>
        <w:rPr>
          <w:rFonts w:hint="eastAsia" w:ascii="仿宋" w:hAnsi="仿宋" w:eastAsia="仿宋_GB2312"/>
          <w:sz w:val="32"/>
          <w:szCs w:val="32"/>
        </w:rPr>
        <w:t>。</w:t>
      </w:r>
    </w:p>
    <w:p w14:paraId="514710AD">
      <w:pPr>
        <w:adjustRightInd w:val="0"/>
        <w:snapToGrid w:val="0"/>
        <w:spacing w:line="600" w:lineRule="exact"/>
        <w:ind w:firstLine="643" w:firstLineChars="200"/>
        <w:rPr>
          <w:rFonts w:hint="eastAsia" w:ascii="仿宋" w:hAnsi="仿宋" w:eastAsia="仿宋_GB2312"/>
          <w:sz w:val="32"/>
          <w:szCs w:val="32"/>
        </w:rPr>
      </w:pPr>
      <w:r>
        <w:rPr>
          <w:rFonts w:hint="eastAsia" w:ascii="仿宋" w:hAnsi="仿宋" w:eastAsia="仿宋_GB2312"/>
          <w:b/>
          <w:sz w:val="32"/>
          <w:szCs w:val="32"/>
          <w:lang w:val="en-US" w:eastAsia="zh-CN"/>
        </w:rPr>
        <w:t>9</w:t>
      </w:r>
      <w:r>
        <w:rPr>
          <w:rFonts w:hint="eastAsia" w:ascii="仿宋" w:hAnsi="仿宋" w:eastAsia="仿宋_GB2312"/>
          <w:b/>
          <w:sz w:val="32"/>
          <w:szCs w:val="32"/>
        </w:rPr>
        <w:t>.卫生健康支出（类）行政事业单位医疗（款）行政单位医疗（项）</w:t>
      </w:r>
      <w:r>
        <w:rPr>
          <w:rFonts w:hint="eastAsia" w:ascii="仿宋" w:hAnsi="仿宋" w:eastAsia="仿宋_GB2312"/>
          <w:sz w:val="32"/>
          <w:szCs w:val="32"/>
          <w:lang w:eastAsia="zh-CN"/>
        </w:rPr>
        <w:t>2025</w:t>
      </w:r>
      <w:r>
        <w:rPr>
          <w:rFonts w:hint="eastAsia" w:ascii="仿宋" w:hAnsi="仿宋" w:eastAsia="仿宋_GB2312"/>
          <w:sz w:val="32"/>
          <w:szCs w:val="32"/>
        </w:rPr>
        <w:t>年预算</w:t>
      </w:r>
      <w:r>
        <w:rPr>
          <w:rFonts w:hint="eastAsia" w:ascii="仿宋" w:hAnsi="仿宋" w:eastAsia="仿宋_GB2312"/>
          <w:sz w:val="32"/>
          <w:szCs w:val="32"/>
          <w:lang w:val="en-US" w:eastAsia="zh-CN"/>
        </w:rPr>
        <w:t>32.58</w:t>
      </w:r>
      <w:r>
        <w:rPr>
          <w:rFonts w:hint="eastAsia" w:ascii="仿宋" w:hAnsi="仿宋" w:eastAsia="仿宋_GB2312"/>
          <w:sz w:val="32"/>
          <w:szCs w:val="32"/>
        </w:rPr>
        <w:t>万元，比</w:t>
      </w:r>
      <w:r>
        <w:rPr>
          <w:rFonts w:hint="eastAsia" w:ascii="仿宋" w:hAnsi="仿宋" w:eastAsia="仿宋_GB2312"/>
          <w:sz w:val="32"/>
          <w:szCs w:val="32"/>
          <w:lang w:eastAsia="zh-CN"/>
        </w:rPr>
        <w:t>2024</w:t>
      </w:r>
      <w:r>
        <w:rPr>
          <w:rFonts w:hint="eastAsia" w:ascii="仿宋" w:hAnsi="仿宋" w:eastAsia="仿宋_GB2312"/>
          <w:sz w:val="32"/>
          <w:szCs w:val="32"/>
        </w:rPr>
        <w:t>年预算</w:t>
      </w:r>
      <w:r>
        <w:rPr>
          <w:rFonts w:hint="eastAsia" w:ascii="仿宋" w:hAnsi="仿宋" w:eastAsia="仿宋_GB2312"/>
          <w:sz w:val="32"/>
          <w:szCs w:val="32"/>
          <w:lang w:val="en-US" w:eastAsia="zh-CN"/>
        </w:rPr>
        <w:t>减少2.48</w:t>
      </w:r>
      <w:r>
        <w:rPr>
          <w:rFonts w:hint="eastAsia" w:ascii="仿宋" w:hAnsi="仿宋" w:eastAsia="仿宋_GB2312"/>
          <w:sz w:val="32"/>
          <w:szCs w:val="32"/>
        </w:rPr>
        <w:t>万元，</w:t>
      </w:r>
      <w:r>
        <w:rPr>
          <w:rFonts w:hint="eastAsia" w:ascii="仿宋" w:hAnsi="仿宋" w:eastAsia="仿宋_GB2312"/>
          <w:sz w:val="32"/>
          <w:szCs w:val="32"/>
          <w:lang w:val="en-US" w:eastAsia="zh-CN"/>
        </w:rPr>
        <w:t>减少7.08</w:t>
      </w:r>
      <w:r>
        <w:rPr>
          <w:rFonts w:hint="eastAsia" w:ascii="仿宋" w:hAnsi="仿宋" w:eastAsia="仿宋_GB2312"/>
          <w:sz w:val="32"/>
          <w:szCs w:val="32"/>
        </w:rPr>
        <w:t>%，</w:t>
      </w:r>
      <w:r>
        <w:rPr>
          <w:rFonts w:hint="eastAsia" w:ascii="仿宋" w:hAnsi="仿宋" w:eastAsia="仿宋_GB2312"/>
          <w:sz w:val="32"/>
          <w:szCs w:val="32"/>
          <w:lang w:val="en-US" w:eastAsia="zh-CN"/>
        </w:rPr>
        <w:t>减少</w:t>
      </w:r>
      <w:r>
        <w:rPr>
          <w:rFonts w:hint="eastAsia" w:ascii="仿宋" w:hAnsi="仿宋" w:eastAsia="仿宋_GB2312"/>
          <w:sz w:val="32"/>
          <w:szCs w:val="32"/>
        </w:rPr>
        <w:t>原因主要是</w:t>
      </w:r>
      <w:r>
        <w:rPr>
          <w:rFonts w:hint="eastAsia" w:ascii="仿宋" w:hAnsi="仿宋" w:eastAsia="仿宋_GB2312"/>
          <w:sz w:val="32"/>
          <w:szCs w:val="32"/>
          <w:lang w:val="en-US" w:eastAsia="zh-CN"/>
        </w:rPr>
        <w:t>行政人员变动</w:t>
      </w:r>
      <w:r>
        <w:rPr>
          <w:rFonts w:hint="eastAsia" w:ascii="仿宋" w:hAnsi="仿宋" w:eastAsia="仿宋_GB2312"/>
          <w:sz w:val="32"/>
          <w:szCs w:val="32"/>
          <w:lang w:eastAsia="zh-CN"/>
        </w:rPr>
        <w:t>等</w:t>
      </w:r>
      <w:r>
        <w:rPr>
          <w:rFonts w:hint="eastAsia" w:ascii="仿宋" w:hAnsi="仿宋" w:eastAsia="仿宋_GB2312"/>
          <w:sz w:val="32"/>
          <w:szCs w:val="32"/>
        </w:rPr>
        <w:t>。</w:t>
      </w:r>
    </w:p>
    <w:p w14:paraId="1411B1D6">
      <w:pPr>
        <w:adjustRightInd w:val="0"/>
        <w:snapToGrid w:val="0"/>
        <w:spacing w:line="600" w:lineRule="exact"/>
        <w:ind w:firstLine="643" w:firstLineChars="200"/>
        <w:rPr>
          <w:rFonts w:hint="eastAsia" w:ascii="仿宋" w:hAnsi="仿宋" w:eastAsia="仿宋_GB2312"/>
          <w:sz w:val="32"/>
          <w:szCs w:val="32"/>
        </w:rPr>
      </w:pPr>
      <w:r>
        <w:rPr>
          <w:rFonts w:hint="eastAsia" w:ascii="仿宋" w:hAnsi="仿宋" w:eastAsia="仿宋_GB2312"/>
          <w:b/>
          <w:sz w:val="32"/>
          <w:szCs w:val="32"/>
          <w:lang w:val="en-US" w:eastAsia="zh-CN"/>
        </w:rPr>
        <w:t>10</w:t>
      </w:r>
      <w:r>
        <w:rPr>
          <w:rFonts w:hint="eastAsia" w:ascii="仿宋" w:hAnsi="仿宋" w:eastAsia="仿宋_GB2312"/>
          <w:b/>
          <w:sz w:val="32"/>
          <w:szCs w:val="32"/>
        </w:rPr>
        <w:t>.卫生健康支出（类）行政事业单位医疗（款）</w:t>
      </w:r>
      <w:r>
        <w:rPr>
          <w:rFonts w:hint="eastAsia" w:ascii="仿宋" w:hAnsi="仿宋" w:eastAsia="仿宋_GB2312"/>
          <w:b/>
          <w:sz w:val="32"/>
          <w:szCs w:val="32"/>
          <w:lang w:val="en-US" w:eastAsia="zh-CN"/>
        </w:rPr>
        <w:t>事业</w:t>
      </w:r>
      <w:r>
        <w:rPr>
          <w:rFonts w:hint="eastAsia" w:ascii="仿宋" w:hAnsi="仿宋" w:eastAsia="仿宋_GB2312"/>
          <w:b/>
          <w:sz w:val="32"/>
          <w:szCs w:val="32"/>
        </w:rPr>
        <w:t>单位医疗（项）</w:t>
      </w:r>
      <w:r>
        <w:rPr>
          <w:rFonts w:hint="eastAsia" w:ascii="仿宋" w:hAnsi="仿宋" w:eastAsia="仿宋_GB2312"/>
          <w:sz w:val="32"/>
          <w:szCs w:val="32"/>
          <w:lang w:eastAsia="zh-CN"/>
        </w:rPr>
        <w:t>2025</w:t>
      </w:r>
      <w:r>
        <w:rPr>
          <w:rFonts w:hint="eastAsia" w:ascii="仿宋" w:hAnsi="仿宋" w:eastAsia="仿宋_GB2312"/>
          <w:sz w:val="32"/>
          <w:szCs w:val="32"/>
        </w:rPr>
        <w:t>年预算</w:t>
      </w:r>
      <w:r>
        <w:rPr>
          <w:rFonts w:hint="eastAsia" w:ascii="仿宋" w:hAnsi="仿宋" w:eastAsia="仿宋_GB2312"/>
          <w:sz w:val="32"/>
          <w:szCs w:val="32"/>
          <w:lang w:val="en-US" w:eastAsia="zh-CN"/>
        </w:rPr>
        <w:t>4.56</w:t>
      </w:r>
      <w:r>
        <w:rPr>
          <w:rFonts w:hint="eastAsia" w:ascii="仿宋" w:hAnsi="仿宋" w:eastAsia="仿宋_GB2312"/>
          <w:sz w:val="32"/>
          <w:szCs w:val="32"/>
        </w:rPr>
        <w:t>万元，比</w:t>
      </w:r>
      <w:r>
        <w:rPr>
          <w:rFonts w:hint="eastAsia" w:ascii="仿宋" w:hAnsi="仿宋" w:eastAsia="仿宋_GB2312"/>
          <w:sz w:val="32"/>
          <w:szCs w:val="32"/>
          <w:lang w:eastAsia="zh-CN"/>
        </w:rPr>
        <w:t>2024</w:t>
      </w:r>
      <w:r>
        <w:rPr>
          <w:rFonts w:hint="eastAsia" w:ascii="仿宋" w:hAnsi="仿宋" w:eastAsia="仿宋_GB2312"/>
          <w:sz w:val="32"/>
          <w:szCs w:val="32"/>
        </w:rPr>
        <w:t>年预算</w:t>
      </w:r>
      <w:r>
        <w:rPr>
          <w:rFonts w:hint="eastAsia" w:ascii="仿宋" w:hAnsi="仿宋" w:eastAsia="仿宋_GB2312"/>
          <w:sz w:val="32"/>
          <w:szCs w:val="32"/>
          <w:lang w:val="en-US" w:eastAsia="zh-CN"/>
        </w:rPr>
        <w:t>增加4.56</w:t>
      </w:r>
      <w:r>
        <w:rPr>
          <w:rFonts w:hint="eastAsia" w:ascii="仿宋" w:hAnsi="仿宋" w:eastAsia="仿宋_GB2312"/>
          <w:sz w:val="32"/>
          <w:szCs w:val="32"/>
        </w:rPr>
        <w:t>万元，</w:t>
      </w:r>
      <w:r>
        <w:rPr>
          <w:rFonts w:hint="eastAsia" w:ascii="仿宋" w:hAnsi="仿宋" w:eastAsia="仿宋_GB2312"/>
          <w:sz w:val="32"/>
          <w:szCs w:val="32"/>
          <w:lang w:val="en-US" w:eastAsia="zh-CN"/>
        </w:rPr>
        <w:t>增长100</w:t>
      </w:r>
      <w:r>
        <w:rPr>
          <w:rFonts w:hint="eastAsia" w:ascii="仿宋" w:hAnsi="仿宋" w:eastAsia="仿宋_GB2312"/>
          <w:sz w:val="32"/>
          <w:szCs w:val="32"/>
        </w:rPr>
        <w:t>%，</w:t>
      </w:r>
      <w:r>
        <w:rPr>
          <w:rFonts w:hint="eastAsia" w:ascii="仿宋" w:hAnsi="仿宋" w:eastAsia="仿宋_GB2312"/>
          <w:sz w:val="32"/>
          <w:szCs w:val="32"/>
          <w:lang w:val="en-US" w:eastAsia="zh-CN"/>
        </w:rPr>
        <w:t>增长</w:t>
      </w:r>
      <w:r>
        <w:rPr>
          <w:rFonts w:hint="eastAsia" w:ascii="仿宋" w:hAnsi="仿宋" w:eastAsia="仿宋_GB2312"/>
          <w:sz w:val="32"/>
          <w:szCs w:val="32"/>
        </w:rPr>
        <w:t>原因主要是</w:t>
      </w:r>
      <w:r>
        <w:rPr>
          <w:rFonts w:hint="eastAsia" w:ascii="仿宋" w:hAnsi="仿宋" w:eastAsia="仿宋_GB2312"/>
          <w:sz w:val="32"/>
          <w:szCs w:val="32"/>
          <w:lang w:val="en-US" w:eastAsia="zh-CN"/>
        </w:rPr>
        <w:t>事业人员变动</w:t>
      </w:r>
      <w:r>
        <w:rPr>
          <w:rFonts w:hint="eastAsia" w:ascii="仿宋" w:hAnsi="仿宋" w:eastAsia="仿宋_GB2312"/>
          <w:sz w:val="32"/>
          <w:szCs w:val="32"/>
          <w:lang w:eastAsia="zh-CN"/>
        </w:rPr>
        <w:t>等</w:t>
      </w:r>
      <w:r>
        <w:rPr>
          <w:rFonts w:hint="eastAsia" w:ascii="仿宋" w:hAnsi="仿宋" w:eastAsia="仿宋_GB2312"/>
          <w:sz w:val="32"/>
          <w:szCs w:val="32"/>
        </w:rPr>
        <w:t>。</w:t>
      </w:r>
    </w:p>
    <w:p w14:paraId="7E8D5F13">
      <w:pPr>
        <w:adjustRightInd w:val="0"/>
        <w:snapToGrid w:val="0"/>
        <w:spacing w:line="600" w:lineRule="exact"/>
        <w:ind w:firstLine="643" w:firstLineChars="200"/>
        <w:rPr>
          <w:rFonts w:ascii="仿宋" w:hAnsi="仿宋" w:eastAsia="仿宋_GB2312"/>
          <w:sz w:val="32"/>
          <w:szCs w:val="32"/>
        </w:rPr>
      </w:pPr>
      <w:r>
        <w:rPr>
          <w:rFonts w:hint="eastAsia" w:ascii="仿宋" w:hAnsi="仿宋" w:eastAsia="仿宋_GB2312"/>
          <w:b/>
          <w:sz w:val="32"/>
          <w:szCs w:val="32"/>
          <w:lang w:val="en-US" w:eastAsia="zh-CN"/>
        </w:rPr>
        <w:t>11</w:t>
      </w:r>
      <w:r>
        <w:rPr>
          <w:rFonts w:hint="eastAsia" w:ascii="仿宋" w:hAnsi="仿宋" w:eastAsia="仿宋_GB2312"/>
          <w:b/>
          <w:sz w:val="32"/>
          <w:szCs w:val="32"/>
        </w:rPr>
        <w:t>.卫生健康支出（类）行政事业单位医疗（款）公务员医疗补助（项）</w:t>
      </w:r>
      <w:r>
        <w:rPr>
          <w:rFonts w:hint="eastAsia" w:ascii="仿宋" w:hAnsi="仿宋" w:eastAsia="仿宋_GB2312"/>
          <w:sz w:val="32"/>
          <w:szCs w:val="32"/>
          <w:lang w:eastAsia="zh-CN"/>
        </w:rPr>
        <w:t>2025</w:t>
      </w:r>
      <w:r>
        <w:rPr>
          <w:rFonts w:hint="eastAsia" w:ascii="仿宋" w:hAnsi="仿宋" w:eastAsia="仿宋_GB2312"/>
          <w:sz w:val="32"/>
          <w:szCs w:val="32"/>
        </w:rPr>
        <w:t>年预算</w:t>
      </w:r>
      <w:r>
        <w:rPr>
          <w:rFonts w:hint="eastAsia" w:ascii="仿宋" w:hAnsi="仿宋" w:eastAsia="仿宋_GB2312"/>
          <w:sz w:val="32"/>
          <w:szCs w:val="32"/>
          <w:lang w:val="en-US" w:eastAsia="zh-CN"/>
        </w:rPr>
        <w:t>13.57</w:t>
      </w:r>
      <w:r>
        <w:rPr>
          <w:rFonts w:hint="eastAsia" w:ascii="仿宋" w:hAnsi="仿宋" w:eastAsia="仿宋_GB2312"/>
          <w:sz w:val="32"/>
          <w:szCs w:val="32"/>
        </w:rPr>
        <w:t>万元，比</w:t>
      </w:r>
      <w:r>
        <w:rPr>
          <w:rFonts w:hint="eastAsia" w:ascii="仿宋" w:hAnsi="仿宋" w:eastAsia="仿宋_GB2312"/>
          <w:sz w:val="32"/>
          <w:szCs w:val="32"/>
          <w:lang w:eastAsia="zh-CN"/>
        </w:rPr>
        <w:t>2024</w:t>
      </w:r>
      <w:r>
        <w:rPr>
          <w:rFonts w:hint="eastAsia" w:ascii="仿宋" w:hAnsi="仿宋" w:eastAsia="仿宋_GB2312"/>
          <w:sz w:val="32"/>
          <w:szCs w:val="32"/>
        </w:rPr>
        <w:t>年预算</w:t>
      </w:r>
      <w:r>
        <w:rPr>
          <w:rFonts w:hint="eastAsia" w:ascii="仿宋" w:hAnsi="仿宋" w:eastAsia="仿宋_GB2312"/>
          <w:sz w:val="32"/>
          <w:szCs w:val="32"/>
          <w:lang w:val="en-US" w:eastAsia="zh-CN"/>
        </w:rPr>
        <w:t>增长1.05</w:t>
      </w:r>
      <w:r>
        <w:rPr>
          <w:rFonts w:hint="eastAsia" w:ascii="仿宋" w:hAnsi="仿宋" w:eastAsia="仿宋_GB2312"/>
          <w:sz w:val="32"/>
          <w:szCs w:val="32"/>
        </w:rPr>
        <w:t>万元，</w:t>
      </w:r>
      <w:r>
        <w:rPr>
          <w:rFonts w:hint="eastAsia" w:ascii="仿宋" w:hAnsi="仿宋" w:eastAsia="仿宋_GB2312"/>
          <w:sz w:val="32"/>
          <w:szCs w:val="32"/>
          <w:lang w:val="en-US" w:eastAsia="zh-CN"/>
        </w:rPr>
        <w:t>增加8.41</w:t>
      </w:r>
      <w:r>
        <w:rPr>
          <w:rFonts w:hint="eastAsia" w:ascii="仿宋" w:hAnsi="仿宋" w:eastAsia="仿宋_GB2312"/>
          <w:sz w:val="32"/>
          <w:szCs w:val="32"/>
        </w:rPr>
        <w:t>%，</w:t>
      </w:r>
      <w:r>
        <w:rPr>
          <w:rFonts w:hint="eastAsia" w:ascii="仿宋" w:hAnsi="仿宋" w:eastAsia="仿宋_GB2312"/>
          <w:sz w:val="32"/>
          <w:szCs w:val="32"/>
          <w:lang w:val="en-US" w:eastAsia="zh-CN"/>
        </w:rPr>
        <w:t>增长</w:t>
      </w:r>
      <w:r>
        <w:rPr>
          <w:rFonts w:hint="eastAsia" w:ascii="仿宋" w:hAnsi="仿宋" w:eastAsia="仿宋_GB2312"/>
          <w:sz w:val="32"/>
          <w:szCs w:val="32"/>
        </w:rPr>
        <w:t>原因主要是</w:t>
      </w:r>
      <w:r>
        <w:rPr>
          <w:rFonts w:hint="eastAsia" w:ascii="仿宋" w:hAnsi="仿宋" w:eastAsia="仿宋_GB2312"/>
          <w:sz w:val="32"/>
          <w:szCs w:val="32"/>
          <w:lang w:eastAsia="zh-CN"/>
        </w:rPr>
        <w:t>基数调整等</w:t>
      </w:r>
      <w:r>
        <w:rPr>
          <w:rFonts w:hint="eastAsia" w:ascii="仿宋" w:hAnsi="仿宋" w:eastAsia="仿宋_GB2312"/>
          <w:sz w:val="32"/>
          <w:szCs w:val="32"/>
        </w:rPr>
        <w:t>。</w:t>
      </w:r>
    </w:p>
    <w:p w14:paraId="4F524BDD">
      <w:pPr>
        <w:adjustRightInd w:val="0"/>
        <w:snapToGrid w:val="0"/>
        <w:spacing w:line="600" w:lineRule="exact"/>
        <w:ind w:firstLine="643" w:firstLineChars="200"/>
        <w:rPr>
          <w:rFonts w:hint="eastAsia" w:ascii="仿宋" w:hAnsi="仿宋" w:eastAsia="仿宋_GB2312" w:cs="Times New Roman"/>
          <w:sz w:val="32"/>
          <w:szCs w:val="32"/>
        </w:rPr>
      </w:pPr>
      <w:r>
        <w:rPr>
          <w:rFonts w:hint="eastAsia" w:ascii="仿宋" w:hAnsi="仿宋" w:eastAsia="仿宋_GB2312" w:cs="Times New Roman"/>
          <w:b/>
          <w:sz w:val="32"/>
          <w:szCs w:val="32"/>
          <w:lang w:val="en-US" w:eastAsia="zh-CN"/>
        </w:rPr>
        <w:t>12</w:t>
      </w:r>
      <w:r>
        <w:rPr>
          <w:rFonts w:hint="eastAsia" w:ascii="仿宋" w:hAnsi="仿宋" w:eastAsia="仿宋_GB2312" w:cs="Times New Roman"/>
          <w:b/>
          <w:sz w:val="32"/>
          <w:szCs w:val="32"/>
        </w:rPr>
        <w:t>.住房保障支出（类）住房改革支出（款）住房公积金（项）</w:t>
      </w:r>
      <w:r>
        <w:rPr>
          <w:rFonts w:hint="eastAsia" w:ascii="仿宋" w:hAnsi="仿宋" w:eastAsia="仿宋_GB2312" w:cs="Times New Roman"/>
          <w:sz w:val="32"/>
          <w:szCs w:val="32"/>
          <w:lang w:eastAsia="zh-CN"/>
        </w:rPr>
        <w:t>2025</w:t>
      </w:r>
      <w:r>
        <w:rPr>
          <w:rFonts w:hint="eastAsia" w:ascii="仿宋" w:hAnsi="仿宋" w:eastAsia="仿宋_GB2312" w:cs="Times New Roman"/>
          <w:sz w:val="32"/>
          <w:szCs w:val="32"/>
        </w:rPr>
        <w:t>年预算</w:t>
      </w:r>
      <w:r>
        <w:rPr>
          <w:rFonts w:hint="eastAsia" w:ascii="仿宋" w:hAnsi="仿宋" w:eastAsia="仿宋_GB2312" w:cs="Times New Roman"/>
          <w:sz w:val="32"/>
          <w:szCs w:val="32"/>
          <w:lang w:val="en-US" w:eastAsia="zh-CN"/>
        </w:rPr>
        <w:t>94.29</w:t>
      </w:r>
      <w:r>
        <w:rPr>
          <w:rFonts w:hint="eastAsia" w:ascii="仿宋" w:hAnsi="仿宋" w:eastAsia="仿宋_GB2312" w:cs="Times New Roman"/>
          <w:sz w:val="32"/>
          <w:szCs w:val="32"/>
        </w:rPr>
        <w:t>万元，比</w:t>
      </w:r>
      <w:r>
        <w:rPr>
          <w:rFonts w:hint="eastAsia" w:ascii="仿宋" w:hAnsi="仿宋" w:eastAsia="仿宋_GB2312" w:cs="Times New Roman"/>
          <w:sz w:val="32"/>
          <w:szCs w:val="32"/>
          <w:lang w:eastAsia="zh-CN"/>
        </w:rPr>
        <w:t>2024</w:t>
      </w:r>
      <w:r>
        <w:rPr>
          <w:rFonts w:hint="eastAsia" w:ascii="仿宋" w:hAnsi="仿宋" w:eastAsia="仿宋_GB2312" w:cs="Times New Roman"/>
          <w:sz w:val="32"/>
          <w:szCs w:val="32"/>
        </w:rPr>
        <w:t>年预算</w:t>
      </w:r>
      <w:r>
        <w:rPr>
          <w:rFonts w:hint="eastAsia" w:ascii="仿宋" w:hAnsi="仿宋" w:eastAsia="仿宋_GB2312" w:cs="Times New Roman"/>
          <w:sz w:val="32"/>
          <w:szCs w:val="32"/>
          <w:lang w:val="en-US" w:eastAsia="zh-CN"/>
        </w:rPr>
        <w:t>减少5.76</w:t>
      </w:r>
      <w:r>
        <w:rPr>
          <w:rFonts w:hint="eastAsia" w:ascii="仿宋" w:hAnsi="仿宋" w:eastAsia="仿宋_GB2312" w:cs="Times New Roman"/>
          <w:sz w:val="32"/>
          <w:szCs w:val="32"/>
        </w:rPr>
        <w:t>万元，</w:t>
      </w:r>
      <w:r>
        <w:rPr>
          <w:rFonts w:hint="eastAsia" w:ascii="仿宋" w:hAnsi="仿宋" w:eastAsia="仿宋_GB2312" w:cs="Times New Roman"/>
          <w:sz w:val="32"/>
          <w:szCs w:val="32"/>
          <w:lang w:val="en-US" w:eastAsia="zh-CN"/>
        </w:rPr>
        <w:t>减少5.75</w:t>
      </w:r>
      <w:r>
        <w:rPr>
          <w:rFonts w:hint="eastAsia" w:ascii="仿宋" w:hAnsi="仿宋" w:eastAsia="仿宋_GB2312" w:cs="Times New Roman"/>
          <w:sz w:val="32"/>
          <w:szCs w:val="32"/>
        </w:rPr>
        <w:t>%，</w:t>
      </w:r>
      <w:r>
        <w:rPr>
          <w:rFonts w:hint="eastAsia" w:ascii="仿宋" w:hAnsi="仿宋" w:eastAsia="仿宋_GB2312" w:cs="Times New Roman"/>
          <w:sz w:val="32"/>
          <w:szCs w:val="32"/>
          <w:lang w:val="en-US" w:eastAsia="zh-CN"/>
        </w:rPr>
        <w:t>减少</w:t>
      </w:r>
      <w:r>
        <w:rPr>
          <w:rFonts w:hint="eastAsia" w:ascii="仿宋" w:hAnsi="仿宋" w:eastAsia="仿宋_GB2312" w:cs="Times New Roman"/>
          <w:sz w:val="32"/>
          <w:szCs w:val="32"/>
        </w:rPr>
        <w:t>原因主要是</w:t>
      </w:r>
      <w:r>
        <w:rPr>
          <w:rFonts w:hint="eastAsia" w:ascii="仿宋" w:hAnsi="仿宋" w:eastAsia="仿宋_GB2312" w:cs="Times New Roman"/>
          <w:sz w:val="32"/>
          <w:szCs w:val="32"/>
          <w:lang w:val="en-US" w:eastAsia="zh-CN"/>
        </w:rPr>
        <w:t>人员变动</w:t>
      </w:r>
      <w:r>
        <w:rPr>
          <w:rFonts w:hint="eastAsia" w:ascii="仿宋" w:hAnsi="仿宋" w:eastAsia="仿宋_GB2312" w:cs="Times New Roman"/>
          <w:sz w:val="32"/>
          <w:szCs w:val="32"/>
        </w:rPr>
        <w:t>。</w:t>
      </w:r>
    </w:p>
    <w:p w14:paraId="71894A8C">
      <w:pPr>
        <w:adjustRightInd w:val="0"/>
        <w:snapToGrid w:val="0"/>
        <w:spacing w:line="600" w:lineRule="exact"/>
        <w:ind w:firstLine="643" w:firstLineChars="200"/>
        <w:rPr>
          <w:rFonts w:hint="eastAsia" w:ascii="仿宋" w:hAnsi="仿宋" w:eastAsia="仿宋_GB2312" w:cs="Times New Roman"/>
          <w:sz w:val="32"/>
          <w:szCs w:val="32"/>
        </w:rPr>
      </w:pPr>
      <w:r>
        <w:rPr>
          <w:rFonts w:hint="eastAsia" w:ascii="仿宋" w:hAnsi="仿宋" w:eastAsia="仿宋_GB2312"/>
          <w:b/>
          <w:sz w:val="32"/>
          <w:szCs w:val="32"/>
          <w:lang w:val="en-US" w:eastAsia="zh-CN"/>
        </w:rPr>
        <w:t>13</w:t>
      </w:r>
      <w:r>
        <w:rPr>
          <w:rFonts w:hint="eastAsia" w:ascii="仿宋" w:hAnsi="仿宋" w:eastAsia="仿宋_GB2312"/>
          <w:b/>
          <w:sz w:val="32"/>
          <w:szCs w:val="32"/>
        </w:rPr>
        <w:t>.住房保障支出（类）住房改革支出（款）</w:t>
      </w:r>
      <w:r>
        <w:rPr>
          <w:rFonts w:hint="eastAsia" w:ascii="仿宋" w:hAnsi="仿宋" w:eastAsia="仿宋_GB2312"/>
          <w:b/>
          <w:sz w:val="32"/>
          <w:szCs w:val="32"/>
          <w:lang w:val="en-US" w:eastAsia="zh-CN"/>
        </w:rPr>
        <w:t>提租</w:t>
      </w:r>
      <w:r>
        <w:rPr>
          <w:rFonts w:hint="eastAsia" w:ascii="仿宋" w:hAnsi="仿宋" w:eastAsia="仿宋_GB2312"/>
          <w:b/>
          <w:sz w:val="32"/>
          <w:szCs w:val="32"/>
        </w:rPr>
        <w:t>补贴（项）</w:t>
      </w:r>
      <w:r>
        <w:rPr>
          <w:rFonts w:hint="eastAsia" w:ascii="仿宋" w:hAnsi="仿宋" w:eastAsia="仿宋_GB2312"/>
          <w:sz w:val="32"/>
          <w:szCs w:val="32"/>
          <w:lang w:eastAsia="zh-CN"/>
        </w:rPr>
        <w:t>2025</w:t>
      </w:r>
      <w:r>
        <w:rPr>
          <w:rFonts w:hint="eastAsia" w:ascii="仿宋" w:hAnsi="仿宋" w:eastAsia="仿宋_GB2312"/>
          <w:sz w:val="32"/>
          <w:szCs w:val="32"/>
        </w:rPr>
        <w:t>年预算</w:t>
      </w:r>
      <w:r>
        <w:rPr>
          <w:rFonts w:hint="eastAsia" w:ascii="仿宋" w:hAnsi="仿宋" w:eastAsia="仿宋_GB2312"/>
          <w:sz w:val="32"/>
          <w:szCs w:val="32"/>
          <w:lang w:val="en-US" w:eastAsia="zh-CN"/>
        </w:rPr>
        <w:t>39.21</w:t>
      </w:r>
      <w:r>
        <w:rPr>
          <w:rFonts w:hint="eastAsia" w:ascii="仿宋" w:hAnsi="仿宋" w:eastAsia="仿宋_GB2312"/>
          <w:sz w:val="32"/>
          <w:szCs w:val="32"/>
        </w:rPr>
        <w:t>万元，</w:t>
      </w:r>
      <w:r>
        <w:rPr>
          <w:rFonts w:hint="eastAsia" w:ascii="仿宋" w:hAnsi="仿宋" w:eastAsia="仿宋_GB2312" w:cs="Times New Roman"/>
          <w:sz w:val="32"/>
          <w:szCs w:val="32"/>
        </w:rPr>
        <w:t>比</w:t>
      </w:r>
      <w:r>
        <w:rPr>
          <w:rFonts w:hint="eastAsia" w:ascii="仿宋" w:hAnsi="仿宋" w:eastAsia="仿宋_GB2312" w:cs="Times New Roman"/>
          <w:sz w:val="32"/>
          <w:szCs w:val="32"/>
          <w:lang w:eastAsia="zh-CN"/>
        </w:rPr>
        <w:t>2024</w:t>
      </w:r>
      <w:r>
        <w:rPr>
          <w:rFonts w:hint="eastAsia" w:ascii="仿宋" w:hAnsi="仿宋" w:eastAsia="仿宋_GB2312" w:cs="Times New Roman"/>
          <w:sz w:val="32"/>
          <w:szCs w:val="32"/>
        </w:rPr>
        <w:t>年预算</w:t>
      </w:r>
      <w:r>
        <w:rPr>
          <w:rFonts w:hint="eastAsia" w:ascii="仿宋" w:hAnsi="仿宋" w:eastAsia="仿宋_GB2312" w:cs="Times New Roman"/>
          <w:sz w:val="32"/>
          <w:szCs w:val="32"/>
          <w:lang w:val="en-US" w:eastAsia="zh-CN"/>
        </w:rPr>
        <w:t>减少1.23</w:t>
      </w:r>
      <w:r>
        <w:rPr>
          <w:rFonts w:hint="eastAsia" w:ascii="仿宋" w:hAnsi="仿宋" w:eastAsia="仿宋_GB2312" w:cs="Times New Roman"/>
          <w:sz w:val="32"/>
          <w:szCs w:val="32"/>
        </w:rPr>
        <w:t>万元，</w:t>
      </w:r>
      <w:r>
        <w:rPr>
          <w:rFonts w:hint="eastAsia" w:ascii="仿宋" w:hAnsi="仿宋" w:eastAsia="仿宋_GB2312" w:cs="Times New Roman"/>
          <w:sz w:val="32"/>
          <w:szCs w:val="32"/>
          <w:lang w:val="en-US" w:eastAsia="zh-CN"/>
        </w:rPr>
        <w:t>减少3.05</w:t>
      </w:r>
      <w:r>
        <w:rPr>
          <w:rFonts w:hint="eastAsia" w:ascii="仿宋" w:hAnsi="仿宋" w:eastAsia="仿宋_GB2312" w:cs="Times New Roman"/>
          <w:sz w:val="32"/>
          <w:szCs w:val="32"/>
        </w:rPr>
        <w:t>%，</w:t>
      </w:r>
      <w:r>
        <w:rPr>
          <w:rFonts w:hint="eastAsia" w:ascii="仿宋" w:hAnsi="仿宋" w:eastAsia="仿宋_GB2312"/>
          <w:sz w:val="32"/>
          <w:szCs w:val="32"/>
          <w:lang w:val="en-US" w:eastAsia="zh-CN"/>
        </w:rPr>
        <w:t>减少</w:t>
      </w:r>
      <w:r>
        <w:rPr>
          <w:rFonts w:hint="eastAsia" w:ascii="仿宋" w:hAnsi="仿宋" w:eastAsia="仿宋_GB2312"/>
          <w:sz w:val="32"/>
          <w:szCs w:val="32"/>
        </w:rPr>
        <w:t>原因主要</w:t>
      </w:r>
      <w:r>
        <w:rPr>
          <w:rFonts w:hint="eastAsia" w:ascii="仿宋" w:hAnsi="仿宋" w:eastAsia="仿宋_GB2312"/>
          <w:sz w:val="32"/>
          <w:szCs w:val="32"/>
          <w:lang w:val="en-US" w:eastAsia="zh-CN"/>
        </w:rPr>
        <w:t>是</w:t>
      </w:r>
      <w:r>
        <w:rPr>
          <w:rFonts w:hint="eastAsia" w:ascii="仿宋" w:hAnsi="仿宋" w:eastAsia="仿宋_GB2312" w:cs="Times New Roman"/>
          <w:sz w:val="32"/>
          <w:szCs w:val="32"/>
          <w:lang w:val="en-US" w:eastAsia="zh-CN"/>
        </w:rPr>
        <w:t>人员变动</w:t>
      </w:r>
      <w:r>
        <w:rPr>
          <w:rFonts w:hint="eastAsia" w:ascii="仿宋" w:hAnsi="仿宋" w:eastAsia="仿宋_GB2312"/>
          <w:sz w:val="32"/>
          <w:szCs w:val="32"/>
        </w:rPr>
        <w:t>。</w:t>
      </w:r>
    </w:p>
    <w:p w14:paraId="6F5AA35B">
      <w:pPr>
        <w:adjustRightInd w:val="0"/>
        <w:snapToGrid w:val="0"/>
        <w:spacing w:line="600" w:lineRule="exact"/>
        <w:ind w:firstLine="643" w:firstLineChars="200"/>
        <w:rPr>
          <w:rFonts w:ascii="仿宋" w:hAnsi="仿宋" w:eastAsia="仿宋_GB2312" w:cs="Times New Roman"/>
          <w:sz w:val="32"/>
          <w:szCs w:val="32"/>
        </w:rPr>
      </w:pPr>
      <w:r>
        <w:rPr>
          <w:rFonts w:hint="eastAsia" w:ascii="仿宋" w:hAnsi="仿宋" w:eastAsia="仿宋_GB2312"/>
          <w:b/>
          <w:sz w:val="32"/>
          <w:szCs w:val="32"/>
          <w:lang w:val="en-US" w:eastAsia="zh-CN"/>
        </w:rPr>
        <w:t>14</w:t>
      </w:r>
      <w:r>
        <w:rPr>
          <w:rFonts w:hint="eastAsia" w:ascii="仿宋" w:hAnsi="仿宋" w:eastAsia="仿宋_GB2312"/>
          <w:b/>
          <w:sz w:val="32"/>
          <w:szCs w:val="32"/>
        </w:rPr>
        <w:t>.住房保障支出（类）住房改革支出（款）购房补贴（项）</w:t>
      </w:r>
      <w:r>
        <w:rPr>
          <w:rFonts w:hint="eastAsia" w:ascii="仿宋" w:hAnsi="仿宋" w:eastAsia="仿宋_GB2312"/>
          <w:sz w:val="32"/>
          <w:szCs w:val="32"/>
          <w:lang w:eastAsia="zh-CN"/>
        </w:rPr>
        <w:t>2025</w:t>
      </w:r>
      <w:r>
        <w:rPr>
          <w:rFonts w:hint="eastAsia" w:ascii="仿宋" w:hAnsi="仿宋" w:eastAsia="仿宋_GB2312"/>
          <w:sz w:val="32"/>
          <w:szCs w:val="32"/>
        </w:rPr>
        <w:t>年预算</w:t>
      </w:r>
      <w:r>
        <w:rPr>
          <w:rFonts w:hint="eastAsia" w:ascii="仿宋" w:hAnsi="仿宋" w:eastAsia="仿宋_GB2312"/>
          <w:sz w:val="32"/>
          <w:szCs w:val="32"/>
          <w:lang w:val="en-US" w:eastAsia="zh-CN"/>
        </w:rPr>
        <w:t>39.29</w:t>
      </w:r>
      <w:r>
        <w:rPr>
          <w:rFonts w:hint="eastAsia" w:ascii="仿宋" w:hAnsi="仿宋" w:eastAsia="仿宋_GB2312"/>
          <w:sz w:val="32"/>
          <w:szCs w:val="32"/>
        </w:rPr>
        <w:t>万元，</w:t>
      </w:r>
      <w:r>
        <w:rPr>
          <w:rFonts w:hint="eastAsia" w:ascii="仿宋" w:hAnsi="仿宋" w:eastAsia="仿宋_GB2312" w:cs="Times New Roman"/>
          <w:sz w:val="32"/>
          <w:szCs w:val="32"/>
        </w:rPr>
        <w:t>比</w:t>
      </w:r>
      <w:r>
        <w:rPr>
          <w:rFonts w:hint="eastAsia" w:ascii="仿宋" w:hAnsi="仿宋" w:eastAsia="仿宋_GB2312" w:cs="Times New Roman"/>
          <w:sz w:val="32"/>
          <w:szCs w:val="32"/>
          <w:lang w:eastAsia="zh-CN"/>
        </w:rPr>
        <w:t>2024</w:t>
      </w:r>
      <w:r>
        <w:rPr>
          <w:rFonts w:hint="eastAsia" w:ascii="仿宋" w:hAnsi="仿宋" w:eastAsia="仿宋_GB2312" w:cs="Times New Roman"/>
          <w:sz w:val="32"/>
          <w:szCs w:val="32"/>
        </w:rPr>
        <w:t>年预算</w:t>
      </w:r>
      <w:r>
        <w:rPr>
          <w:rFonts w:hint="eastAsia" w:ascii="仿宋" w:hAnsi="仿宋" w:eastAsia="仿宋_GB2312" w:cs="Times New Roman"/>
          <w:sz w:val="32"/>
          <w:szCs w:val="32"/>
          <w:lang w:val="en-US" w:eastAsia="zh-CN"/>
        </w:rPr>
        <w:t>减少2.4</w:t>
      </w:r>
      <w:r>
        <w:rPr>
          <w:rFonts w:hint="eastAsia" w:ascii="仿宋" w:hAnsi="仿宋" w:eastAsia="仿宋_GB2312" w:cs="Times New Roman"/>
          <w:sz w:val="32"/>
          <w:szCs w:val="32"/>
        </w:rPr>
        <w:t>万元，</w:t>
      </w:r>
      <w:r>
        <w:rPr>
          <w:rFonts w:hint="eastAsia" w:ascii="仿宋" w:hAnsi="仿宋" w:eastAsia="仿宋_GB2312" w:cs="Times New Roman"/>
          <w:sz w:val="32"/>
          <w:szCs w:val="32"/>
          <w:lang w:val="en-US" w:eastAsia="zh-CN"/>
        </w:rPr>
        <w:t>减少5.75</w:t>
      </w:r>
      <w:r>
        <w:rPr>
          <w:rFonts w:hint="eastAsia" w:ascii="仿宋" w:hAnsi="仿宋" w:eastAsia="仿宋_GB2312" w:cs="Times New Roman"/>
          <w:sz w:val="32"/>
          <w:szCs w:val="32"/>
        </w:rPr>
        <w:t>%，</w:t>
      </w:r>
      <w:r>
        <w:rPr>
          <w:rFonts w:hint="eastAsia" w:ascii="仿宋" w:hAnsi="仿宋" w:eastAsia="仿宋_GB2312"/>
          <w:sz w:val="32"/>
          <w:szCs w:val="32"/>
          <w:lang w:val="en-US" w:eastAsia="zh-CN"/>
        </w:rPr>
        <w:t>减少</w:t>
      </w:r>
      <w:r>
        <w:rPr>
          <w:rFonts w:hint="eastAsia" w:ascii="仿宋" w:hAnsi="仿宋" w:eastAsia="仿宋_GB2312"/>
          <w:sz w:val="32"/>
          <w:szCs w:val="32"/>
        </w:rPr>
        <w:t>原因</w:t>
      </w:r>
      <w:r>
        <w:rPr>
          <w:rFonts w:hint="eastAsia" w:ascii="仿宋" w:hAnsi="仿宋" w:eastAsia="仿宋_GB2312"/>
          <w:sz w:val="32"/>
          <w:szCs w:val="32"/>
          <w:lang w:val="en-US" w:eastAsia="zh-CN"/>
        </w:rPr>
        <w:t>主要是人员变动，该项功能科目预算减少</w:t>
      </w:r>
      <w:r>
        <w:rPr>
          <w:rFonts w:hint="eastAsia" w:ascii="仿宋" w:hAnsi="仿宋" w:eastAsia="仿宋_GB2312"/>
          <w:sz w:val="32"/>
          <w:szCs w:val="32"/>
        </w:rPr>
        <w:t>。</w:t>
      </w:r>
    </w:p>
    <w:p w14:paraId="6AA4FC31">
      <w:pPr>
        <w:pStyle w:val="7"/>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六、关于2025年一般公共预算基本支出表的说明</w:t>
      </w:r>
    </w:p>
    <w:p w14:paraId="7D9082AC">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eastAsia="zh-CN"/>
        </w:rPr>
        <w:t>淮北市司法局</w:t>
      </w:r>
      <w:r>
        <w:rPr>
          <w:rFonts w:hint="eastAsia" w:ascii="TimesNewRoman" w:hAnsi="TimesNewRoman" w:eastAsia="仿宋_GB2312" w:cs="TimesNewRoman"/>
          <w:kern w:val="0"/>
          <w:sz w:val="32"/>
          <w:szCs w:val="32"/>
        </w:rPr>
        <w:t>2025年一般公共预算基本支出</w:t>
      </w:r>
      <w:r>
        <w:rPr>
          <w:rFonts w:hint="eastAsia" w:ascii="TimesNewRoman" w:hAnsi="TimesNewRoman" w:eastAsia="仿宋_GB2312" w:cs="TimesNewRoman"/>
          <w:kern w:val="0"/>
          <w:sz w:val="32"/>
          <w:szCs w:val="32"/>
          <w:lang w:val="en-US" w:eastAsia="zh-CN"/>
        </w:rPr>
        <w:t>1332.58</w:t>
      </w:r>
      <w:r>
        <w:rPr>
          <w:rFonts w:hint="eastAsia" w:ascii="TimesNewRoman" w:hAnsi="TimesNewRoman" w:eastAsia="仿宋_GB2312" w:cs="TimesNewRoman"/>
          <w:kern w:val="0"/>
          <w:sz w:val="32"/>
          <w:szCs w:val="32"/>
        </w:rPr>
        <w:t>万元，其中，人员经费</w:t>
      </w:r>
      <w:r>
        <w:rPr>
          <w:rFonts w:hint="eastAsia" w:ascii="TimesNewRoman" w:hAnsi="TimesNewRoman" w:eastAsia="仿宋_GB2312" w:cs="TimesNewRoman"/>
          <w:kern w:val="0"/>
          <w:sz w:val="32"/>
          <w:szCs w:val="32"/>
          <w:lang w:val="en-US" w:eastAsia="zh-CN"/>
        </w:rPr>
        <w:t>1200.25</w:t>
      </w:r>
      <w:r>
        <w:rPr>
          <w:rFonts w:hint="eastAsia" w:ascii="TimesNewRoman" w:hAnsi="TimesNewRoman" w:eastAsia="仿宋_GB2312" w:cs="TimesNewRoman"/>
          <w:kern w:val="0"/>
          <w:sz w:val="32"/>
          <w:szCs w:val="32"/>
        </w:rPr>
        <w:t>万元，公用经费</w:t>
      </w:r>
      <w:r>
        <w:rPr>
          <w:rFonts w:hint="eastAsia" w:ascii="TimesNewRoman" w:hAnsi="TimesNewRoman" w:eastAsia="仿宋_GB2312" w:cs="TimesNewRoman"/>
          <w:kern w:val="0"/>
          <w:sz w:val="32"/>
          <w:szCs w:val="32"/>
          <w:lang w:val="en-US" w:eastAsia="zh-CN"/>
        </w:rPr>
        <w:t>132.33</w:t>
      </w:r>
      <w:r>
        <w:rPr>
          <w:rFonts w:hint="eastAsia" w:ascii="TimesNewRoman" w:hAnsi="TimesNewRoman" w:eastAsia="仿宋_GB2312" w:cs="TimesNewRoman"/>
          <w:kern w:val="0"/>
          <w:sz w:val="32"/>
          <w:szCs w:val="32"/>
        </w:rPr>
        <w:t>万元。</w:t>
      </w:r>
    </w:p>
    <w:p w14:paraId="6FA476B3">
      <w:pPr>
        <w:ind w:firstLine="643" w:firstLineChars="200"/>
        <w:rPr>
          <w:rFonts w:ascii="TimesNewRoman" w:hAnsi="TimesNewRoman" w:eastAsia="仿宋_GB2312" w:cs="TimesNewRoman"/>
          <w:kern w:val="0"/>
          <w:sz w:val="32"/>
          <w:szCs w:val="32"/>
        </w:rPr>
      </w:pPr>
      <w:r>
        <w:rPr>
          <w:rFonts w:hint="eastAsia" w:ascii="TimesNewRoman" w:hAnsi="TimesNewRoman" w:eastAsia="仿宋_GB2312" w:cs="TimesNewRoman"/>
          <w:b/>
          <w:kern w:val="0"/>
          <w:sz w:val="32"/>
          <w:szCs w:val="32"/>
        </w:rPr>
        <w:t>（一）人员经费</w:t>
      </w:r>
      <w:r>
        <w:rPr>
          <w:rFonts w:hint="eastAsia" w:ascii="TimesNewRoman" w:hAnsi="TimesNewRoman" w:eastAsia="仿宋_GB2312" w:cs="TimesNewRoman"/>
          <w:kern w:val="0"/>
          <w:sz w:val="32"/>
          <w:szCs w:val="32"/>
          <w:lang w:val="en-US" w:eastAsia="zh-CN"/>
        </w:rPr>
        <w:t>1200.25</w:t>
      </w:r>
      <w:r>
        <w:rPr>
          <w:rFonts w:hint="eastAsia" w:ascii="TimesNewRoman" w:hAnsi="TimesNewRoman" w:eastAsia="仿宋_GB2312" w:cs="TimesNewRoman"/>
          <w:b/>
          <w:kern w:val="0"/>
          <w:sz w:val="32"/>
          <w:szCs w:val="32"/>
        </w:rPr>
        <w:t>万元，</w:t>
      </w:r>
      <w:r>
        <w:rPr>
          <w:rFonts w:hint="eastAsia" w:ascii="TimesNewRoman" w:hAnsi="TimesNewRoman" w:eastAsia="仿宋_GB2312" w:cs="TimesNewRoman"/>
          <w:kern w:val="0"/>
          <w:sz w:val="32"/>
          <w:szCs w:val="32"/>
        </w:rPr>
        <w:t>主要包括:基本工资、津贴补贴、奖金、绩效工资、机关事业单位基本养老保险费、职业年金缴费、职工基本医疗保险缴费、公务员医疗补助缴费、其他社会保障缴费、住房公积金、离休费、退休费、生活补助、医疗费补助、对其他个人和家庭的补助支出。</w:t>
      </w:r>
    </w:p>
    <w:p w14:paraId="09CB9969">
      <w:pPr>
        <w:ind w:firstLine="643" w:firstLineChars="200"/>
        <w:rPr>
          <w:rFonts w:ascii="TimesNewRoman" w:hAnsi="TimesNewRoman" w:eastAsia="仿宋_GB2312" w:cs="TimesNewRoman"/>
          <w:kern w:val="0"/>
          <w:sz w:val="32"/>
          <w:szCs w:val="32"/>
        </w:rPr>
      </w:pPr>
      <w:r>
        <w:rPr>
          <w:rFonts w:hint="eastAsia" w:ascii="TimesNewRoman" w:hAnsi="TimesNewRoman" w:eastAsia="仿宋_GB2312" w:cs="TimesNewRoman"/>
          <w:b/>
          <w:kern w:val="0"/>
          <w:sz w:val="32"/>
          <w:szCs w:val="32"/>
        </w:rPr>
        <w:t>（二）公用经费</w:t>
      </w:r>
      <w:r>
        <w:rPr>
          <w:rFonts w:hint="eastAsia" w:ascii="TimesNewRoman" w:hAnsi="TimesNewRoman" w:eastAsia="仿宋_GB2312" w:cs="TimesNewRoman"/>
          <w:b/>
          <w:kern w:val="0"/>
          <w:sz w:val="32"/>
          <w:szCs w:val="32"/>
          <w:lang w:val="en-US" w:eastAsia="zh-CN"/>
        </w:rPr>
        <w:t>132.33</w:t>
      </w:r>
      <w:r>
        <w:rPr>
          <w:rFonts w:hint="eastAsia" w:ascii="TimesNewRoman" w:hAnsi="TimesNewRoman" w:eastAsia="仿宋_GB2312" w:cs="TimesNewRoman"/>
          <w:b/>
          <w:kern w:val="0"/>
          <w:sz w:val="32"/>
          <w:szCs w:val="32"/>
        </w:rPr>
        <w:t>万元，</w:t>
      </w:r>
      <w:r>
        <w:rPr>
          <w:rFonts w:hint="eastAsia" w:ascii="TimesNewRoman" w:hAnsi="TimesNewRoman" w:eastAsia="仿宋_GB2312" w:cs="TimesNewRoman"/>
          <w:kern w:val="0"/>
          <w:sz w:val="32"/>
          <w:szCs w:val="32"/>
        </w:rPr>
        <w:t>主要包括：办公费</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公务接待费、专用材料费、被装购置费、专用燃料费、劳务费、</w:t>
      </w:r>
      <w:r>
        <w:rPr>
          <w:rFonts w:hint="eastAsia" w:ascii="TimesNewRoman" w:hAnsi="TimesNewRoman" w:eastAsia="仿宋_GB2312" w:cs="TimesNewRoman"/>
          <w:kern w:val="0"/>
          <w:sz w:val="32"/>
          <w:szCs w:val="32"/>
          <w:lang w:val="en-US" w:eastAsia="zh-CN"/>
        </w:rPr>
        <w:t>工会经费、福利费、</w:t>
      </w:r>
      <w:r>
        <w:rPr>
          <w:rFonts w:hint="eastAsia" w:ascii="TimesNewRoman" w:hAnsi="TimesNewRoman" w:eastAsia="仿宋_GB2312" w:cs="TimesNewRoman"/>
          <w:kern w:val="0"/>
          <w:sz w:val="32"/>
          <w:szCs w:val="32"/>
        </w:rPr>
        <w:t>公务用车运行维护费、其他交通费用、其他商品服务支出等。</w:t>
      </w:r>
    </w:p>
    <w:p w14:paraId="3B78CCD5">
      <w:pPr>
        <w:pStyle w:val="7"/>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七、关于2025年政府性基金预算支出表的说明</w:t>
      </w:r>
    </w:p>
    <w:p w14:paraId="24BCA3C1">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eastAsia="zh-CN"/>
        </w:rPr>
        <w:t>淮北市司法局</w:t>
      </w:r>
      <w:r>
        <w:rPr>
          <w:rFonts w:hint="eastAsia" w:ascii="TimesNewRoman" w:hAnsi="TimesNewRoman" w:eastAsia="仿宋_GB2312" w:cs="TimesNewRoman"/>
          <w:kern w:val="0"/>
          <w:sz w:val="32"/>
          <w:szCs w:val="32"/>
        </w:rPr>
        <w:t>2025年没有政府性基金预算拨款收入，也没有使用政府性基金预算拨款安排的支出。</w:t>
      </w:r>
    </w:p>
    <w:p w14:paraId="2ACD4EA1">
      <w:pPr>
        <w:pStyle w:val="7"/>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八、关于2025年国有资本经营预算支出表的说明</w:t>
      </w:r>
    </w:p>
    <w:p w14:paraId="111E9E3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eastAsia="zh-CN"/>
        </w:rPr>
        <w:t>淮北市司法局</w:t>
      </w:r>
      <w:r>
        <w:rPr>
          <w:rFonts w:hint="eastAsia" w:ascii="TimesNewRoman" w:hAnsi="TimesNewRoman" w:eastAsia="仿宋_GB2312" w:cs="TimesNewRoman"/>
          <w:kern w:val="0"/>
          <w:sz w:val="32"/>
          <w:szCs w:val="32"/>
        </w:rPr>
        <w:t>2025年没有国有资本经营预算拨款收入，也没有使用国有资本经营预算拨款安排的支出。</w:t>
      </w:r>
    </w:p>
    <w:p w14:paraId="1181D311">
      <w:pPr>
        <w:pStyle w:val="7"/>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九、关于2025年项目支出表的说明</w:t>
      </w:r>
    </w:p>
    <w:p w14:paraId="57FB1EAA">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eastAsia="zh-CN"/>
        </w:rPr>
        <w:t>淮北市司法局</w:t>
      </w:r>
      <w:r>
        <w:rPr>
          <w:rFonts w:hint="eastAsia" w:ascii="TimesNewRoman" w:hAnsi="TimesNewRoman" w:eastAsia="仿宋_GB2312" w:cs="TimesNewRoman"/>
          <w:kern w:val="0"/>
          <w:sz w:val="32"/>
          <w:szCs w:val="32"/>
        </w:rPr>
        <w:t>2025年预算共安排项目支出</w:t>
      </w:r>
      <w:r>
        <w:rPr>
          <w:rFonts w:hint="eastAsia" w:ascii="TimesNewRoman" w:hAnsi="TimesNewRoman" w:eastAsia="仿宋_GB2312" w:cs="TimesNewRoman"/>
          <w:kern w:val="0"/>
          <w:sz w:val="32"/>
          <w:szCs w:val="32"/>
          <w:lang w:val="en-US" w:eastAsia="zh-CN"/>
        </w:rPr>
        <w:t>123.75</w:t>
      </w:r>
      <w:r>
        <w:rPr>
          <w:rFonts w:hint="eastAsia" w:ascii="TimesNewRoman" w:hAnsi="TimesNewRoman" w:eastAsia="仿宋_GB2312" w:cs="TimesNewRoman"/>
          <w:kern w:val="0"/>
          <w:sz w:val="32"/>
          <w:szCs w:val="32"/>
        </w:rPr>
        <w:t>万元，比2024年预算减少</w:t>
      </w:r>
      <w:r>
        <w:rPr>
          <w:rFonts w:hint="eastAsia" w:ascii="TimesNewRoman" w:hAnsi="TimesNewRoman" w:eastAsia="仿宋_GB2312" w:cs="TimesNewRoman"/>
          <w:kern w:val="0"/>
          <w:sz w:val="32"/>
          <w:szCs w:val="32"/>
          <w:lang w:val="en-US" w:eastAsia="zh-CN"/>
        </w:rPr>
        <w:t>21.08</w:t>
      </w:r>
      <w:r>
        <w:rPr>
          <w:rFonts w:hint="eastAsia" w:ascii="TimesNewRoman" w:hAnsi="TimesNewRoman" w:eastAsia="仿宋_GB2312" w:cs="TimesNewRoman"/>
          <w:kern w:val="0"/>
          <w:sz w:val="32"/>
          <w:szCs w:val="32"/>
        </w:rPr>
        <w:t>万元，下降</w:t>
      </w:r>
      <w:r>
        <w:rPr>
          <w:rFonts w:hint="eastAsia" w:ascii="TimesNewRoman" w:hAnsi="TimesNewRoman" w:eastAsia="仿宋_GB2312" w:cs="TimesNewRoman"/>
          <w:kern w:val="0"/>
          <w:sz w:val="32"/>
          <w:szCs w:val="32"/>
          <w:lang w:val="en-US" w:eastAsia="zh-CN"/>
        </w:rPr>
        <w:t>14.55</w:t>
      </w:r>
      <w:r>
        <w:rPr>
          <w:rFonts w:hint="eastAsia" w:ascii="TimesNewRoman" w:hAnsi="TimesNewRoman" w:eastAsia="仿宋_GB2312" w:cs="TimesNewRoman"/>
          <w:kern w:val="0"/>
          <w:sz w:val="32"/>
          <w:szCs w:val="32"/>
        </w:rPr>
        <w:t>%，原因主要是</w:t>
      </w:r>
      <w:r>
        <w:rPr>
          <w:rFonts w:hint="eastAsia" w:ascii="TimesNewRoman" w:hAnsi="TimesNewRoman" w:eastAsia="仿宋_GB2312" w:cs="TimesNewRoman"/>
          <w:kern w:val="0"/>
          <w:sz w:val="32"/>
          <w:szCs w:val="32"/>
          <w:lang w:val="en-US" w:eastAsia="zh-CN"/>
        </w:rPr>
        <w:t>项目预算安排本年度减少</w:t>
      </w:r>
      <w:r>
        <w:rPr>
          <w:rFonts w:hint="eastAsia" w:ascii="TimesNewRoman" w:hAnsi="TimesNewRoman" w:eastAsia="仿宋_GB2312" w:cs="TimesNewRoman"/>
          <w:kern w:val="0"/>
          <w:sz w:val="32"/>
          <w:szCs w:val="32"/>
        </w:rPr>
        <w:t>。主要包括：本年财政拨款安排</w:t>
      </w:r>
      <w:r>
        <w:rPr>
          <w:rFonts w:hint="eastAsia" w:ascii="TimesNewRoman" w:hAnsi="TimesNewRoman" w:eastAsia="仿宋_GB2312" w:cs="TimesNewRoman"/>
          <w:kern w:val="0"/>
          <w:sz w:val="32"/>
          <w:szCs w:val="32"/>
          <w:lang w:val="en-US" w:eastAsia="zh-CN"/>
        </w:rPr>
        <w:t>123.75</w:t>
      </w:r>
      <w:r>
        <w:rPr>
          <w:rFonts w:hint="eastAsia" w:ascii="TimesNewRoman" w:hAnsi="TimesNewRoman" w:eastAsia="仿宋_GB2312" w:cs="TimesNewRoman"/>
          <w:kern w:val="0"/>
          <w:sz w:val="32"/>
          <w:szCs w:val="32"/>
        </w:rPr>
        <w:t>万元（其中，一般公共预算拨款安排</w:t>
      </w:r>
      <w:r>
        <w:rPr>
          <w:rFonts w:hint="eastAsia" w:ascii="TimesNewRoman" w:hAnsi="TimesNewRoman" w:eastAsia="仿宋_GB2312" w:cs="TimesNewRoman"/>
          <w:kern w:val="0"/>
          <w:sz w:val="32"/>
          <w:szCs w:val="32"/>
          <w:lang w:val="en-US" w:eastAsia="zh-CN"/>
        </w:rPr>
        <w:t>123.75</w:t>
      </w:r>
      <w:r>
        <w:rPr>
          <w:rFonts w:hint="eastAsia" w:ascii="TimesNewRoman" w:hAnsi="TimesNewRoman" w:eastAsia="仿宋_GB2312" w:cs="TimesNewRoman"/>
          <w:kern w:val="0"/>
          <w:sz w:val="32"/>
          <w:szCs w:val="32"/>
        </w:rPr>
        <w:t>万元，政府性基金预算拨款安排</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万元），财政专户管理资金安排</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万元。</w:t>
      </w:r>
    </w:p>
    <w:p w14:paraId="5B49C309">
      <w:pPr>
        <w:pStyle w:val="7"/>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十、关于2025年政府采购支出表的说明</w:t>
      </w:r>
    </w:p>
    <w:p w14:paraId="17EF7475">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eastAsia="zh-CN"/>
        </w:rPr>
        <w:t>淮北市司法局</w:t>
      </w:r>
      <w:r>
        <w:rPr>
          <w:rFonts w:hint="eastAsia" w:ascii="TimesNewRoman" w:hAnsi="TimesNewRoman" w:eastAsia="仿宋_GB2312" w:cs="TimesNewRoman"/>
          <w:kern w:val="0"/>
          <w:sz w:val="32"/>
          <w:szCs w:val="32"/>
        </w:rPr>
        <w:t>2025年预算安排政府采购支出</w:t>
      </w:r>
      <w:r>
        <w:rPr>
          <w:rFonts w:hint="eastAsia" w:ascii="TimesNewRoman" w:hAnsi="TimesNewRoman" w:eastAsia="仿宋_GB2312" w:cs="TimesNewRoman"/>
          <w:kern w:val="0"/>
          <w:sz w:val="32"/>
          <w:szCs w:val="32"/>
          <w:lang w:val="en-US" w:eastAsia="zh-CN"/>
        </w:rPr>
        <w:t>3.05</w:t>
      </w:r>
      <w:r>
        <w:rPr>
          <w:rFonts w:hint="eastAsia" w:ascii="TimesNewRoman" w:hAnsi="TimesNewRoman" w:eastAsia="仿宋_GB2312" w:cs="TimesNewRoman"/>
          <w:kern w:val="0"/>
          <w:sz w:val="32"/>
          <w:szCs w:val="32"/>
        </w:rPr>
        <w:t>万元，比2024年预算</w:t>
      </w:r>
      <w:r>
        <w:rPr>
          <w:rFonts w:hint="eastAsia" w:ascii="TimesNewRoman" w:hAnsi="TimesNewRoman" w:eastAsia="仿宋_GB2312" w:cs="TimesNewRoman"/>
          <w:kern w:val="0"/>
          <w:sz w:val="32"/>
          <w:szCs w:val="32"/>
          <w:lang w:val="en-US" w:eastAsia="zh-CN"/>
        </w:rPr>
        <w:t>增加0.03</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val="en-US" w:eastAsia="zh-CN"/>
        </w:rPr>
        <w:t>增长0.99</w:t>
      </w:r>
      <w:r>
        <w:rPr>
          <w:rFonts w:hint="eastAsia" w:ascii="TimesNewRoman" w:hAnsi="TimesNewRoman" w:eastAsia="仿宋_GB2312" w:cs="TimesNewRoman"/>
          <w:kern w:val="0"/>
          <w:sz w:val="32"/>
          <w:szCs w:val="32"/>
        </w:rPr>
        <w:t>%，原因主要是</w:t>
      </w:r>
      <w:r>
        <w:rPr>
          <w:rFonts w:hint="eastAsia" w:ascii="TimesNewRoman" w:hAnsi="TimesNewRoman" w:eastAsia="仿宋_GB2312" w:cs="TimesNewRoman"/>
          <w:kern w:val="0"/>
          <w:sz w:val="32"/>
          <w:szCs w:val="32"/>
          <w:lang w:val="en-US" w:eastAsia="zh-CN"/>
        </w:rPr>
        <w:t>本年度设备更新预算安排增加</w:t>
      </w:r>
      <w:r>
        <w:rPr>
          <w:rFonts w:hint="eastAsia" w:ascii="TimesNewRoman" w:hAnsi="TimesNewRoman" w:eastAsia="仿宋_GB2312" w:cs="TimesNewRoman"/>
          <w:kern w:val="0"/>
          <w:sz w:val="32"/>
          <w:szCs w:val="32"/>
        </w:rPr>
        <w:t>。其中，一般公共预算安排</w:t>
      </w:r>
      <w:r>
        <w:rPr>
          <w:rFonts w:hint="eastAsia" w:ascii="TimesNewRoman" w:hAnsi="TimesNewRoman" w:eastAsia="仿宋_GB2312" w:cs="TimesNewRoman"/>
          <w:kern w:val="0"/>
          <w:sz w:val="32"/>
          <w:szCs w:val="32"/>
          <w:lang w:val="en-US" w:eastAsia="zh-CN"/>
        </w:rPr>
        <w:t>3.05</w:t>
      </w:r>
      <w:r>
        <w:rPr>
          <w:rFonts w:hint="eastAsia" w:ascii="TimesNewRoman" w:hAnsi="TimesNewRoman" w:eastAsia="仿宋_GB2312" w:cs="TimesNewRoman"/>
          <w:kern w:val="0"/>
          <w:sz w:val="32"/>
          <w:szCs w:val="32"/>
        </w:rPr>
        <w:t>万元，占</w:t>
      </w:r>
      <w:r>
        <w:rPr>
          <w:rFonts w:hint="eastAsia" w:ascii="TimesNewRoman" w:hAnsi="TimesNewRoman" w:eastAsia="仿宋_GB2312" w:cs="TimesNewRoman"/>
          <w:kern w:val="0"/>
          <w:sz w:val="32"/>
          <w:szCs w:val="32"/>
          <w:lang w:val="en-US" w:eastAsia="zh-CN"/>
        </w:rPr>
        <w:t>100</w:t>
      </w:r>
      <w:r>
        <w:rPr>
          <w:rFonts w:hint="eastAsia" w:ascii="TimesNewRoman" w:hAnsi="TimesNewRoman" w:eastAsia="仿宋_GB2312" w:cs="TimesNewRoman"/>
          <w:kern w:val="0"/>
          <w:sz w:val="32"/>
          <w:szCs w:val="32"/>
        </w:rPr>
        <w:t>%；政府性基金预算安排</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万元，占</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%；财政专户管理资金安排</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万元，占</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w:t>
      </w:r>
    </w:p>
    <w:p w14:paraId="31BC30F3">
      <w:pPr>
        <w:pStyle w:val="7"/>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十一、关于2025年政府购买服务支出表的说明</w:t>
      </w:r>
    </w:p>
    <w:p w14:paraId="236C717B">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eastAsia="zh-CN"/>
        </w:rPr>
        <w:t>淮北市司法局</w:t>
      </w:r>
      <w:r>
        <w:rPr>
          <w:rFonts w:hint="eastAsia" w:ascii="TimesNewRoman" w:hAnsi="TimesNewRoman" w:eastAsia="仿宋_GB2312" w:cs="TimesNewRoman"/>
          <w:kern w:val="0"/>
          <w:sz w:val="32"/>
          <w:szCs w:val="32"/>
        </w:rPr>
        <w:t>2025年预算安排政府购买服务支出</w:t>
      </w:r>
      <w:r>
        <w:rPr>
          <w:rFonts w:hint="eastAsia" w:ascii="TimesNewRoman" w:hAnsi="TimesNewRoman" w:eastAsia="仿宋_GB2312" w:cs="TimesNewRoman"/>
          <w:kern w:val="0"/>
          <w:sz w:val="32"/>
          <w:szCs w:val="32"/>
          <w:lang w:val="en-US" w:eastAsia="zh-CN"/>
        </w:rPr>
        <w:t>19</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val="en-US" w:eastAsia="zh-CN"/>
        </w:rPr>
        <w:t>与</w:t>
      </w:r>
      <w:r>
        <w:rPr>
          <w:rFonts w:hint="eastAsia" w:ascii="TimesNewRoman" w:hAnsi="TimesNewRoman" w:eastAsia="仿宋_GB2312" w:cs="TimesNewRoman"/>
          <w:kern w:val="0"/>
          <w:sz w:val="32"/>
          <w:szCs w:val="32"/>
        </w:rPr>
        <w:t>2024年预算</w:t>
      </w:r>
      <w:r>
        <w:rPr>
          <w:rFonts w:hint="eastAsia" w:ascii="TimesNewRoman" w:hAnsi="TimesNewRoman" w:eastAsia="仿宋_GB2312" w:cs="TimesNewRoman"/>
          <w:kern w:val="0"/>
          <w:sz w:val="32"/>
          <w:szCs w:val="32"/>
          <w:lang w:val="en-US" w:eastAsia="zh-CN"/>
        </w:rPr>
        <w:t>持平</w:t>
      </w:r>
      <w:r>
        <w:rPr>
          <w:rFonts w:hint="eastAsia" w:ascii="TimesNewRoman" w:hAnsi="TimesNewRoman" w:eastAsia="仿宋_GB2312" w:cs="TimesNewRoman"/>
          <w:kern w:val="0"/>
          <w:sz w:val="32"/>
          <w:szCs w:val="32"/>
        </w:rPr>
        <w:t>，原因主要是</w:t>
      </w:r>
      <w:r>
        <w:rPr>
          <w:rFonts w:hint="eastAsia" w:ascii="TimesNewRoman" w:hAnsi="TimesNewRoman" w:eastAsia="仿宋_GB2312" w:cs="TimesNewRoman"/>
          <w:kern w:val="0"/>
          <w:sz w:val="32"/>
          <w:szCs w:val="32"/>
          <w:lang w:val="en-US" w:eastAsia="zh-CN"/>
        </w:rPr>
        <w:t>法律顾问服务项目本年度预算安排与上年度持平</w:t>
      </w:r>
      <w:r>
        <w:rPr>
          <w:rFonts w:hint="eastAsia" w:ascii="TimesNewRoman" w:hAnsi="TimesNewRoman" w:eastAsia="仿宋_GB2312" w:cs="TimesNewRoman"/>
          <w:kern w:val="0"/>
          <w:sz w:val="32"/>
          <w:szCs w:val="32"/>
        </w:rPr>
        <w:t>。</w:t>
      </w:r>
    </w:p>
    <w:p w14:paraId="63FB14C8">
      <w:pPr>
        <w:pStyle w:val="7"/>
        <w:adjustRightInd w:val="0"/>
        <w:snapToGrid w:val="0"/>
        <w:spacing w:line="560" w:lineRule="exact"/>
        <w:ind w:firstLine="640" w:firstLineChars="200"/>
        <w:rPr>
          <w:rFonts w:ascii="TimesNewRoman" w:hAnsi="TimesNewRoman" w:eastAsia="黑体" w:cs="TimesNewRoman"/>
          <w:sz w:val="32"/>
          <w:szCs w:val="32"/>
        </w:rPr>
      </w:pPr>
      <w:r>
        <w:rPr>
          <w:rFonts w:ascii="TimesNewRoman" w:hAnsi="TimesNewRoman" w:eastAsia="黑体" w:cs="TimesNewRoman"/>
          <w:sz w:val="32"/>
          <w:szCs w:val="32"/>
        </w:rPr>
        <w:t>十</w:t>
      </w:r>
      <w:r>
        <w:rPr>
          <w:rFonts w:hint="eastAsia" w:ascii="TimesNewRoman" w:hAnsi="TimesNewRoman" w:eastAsia="黑体" w:cs="TimesNewRoman"/>
          <w:sz w:val="32"/>
          <w:szCs w:val="32"/>
        </w:rPr>
        <w:t>二</w:t>
      </w:r>
      <w:r>
        <w:rPr>
          <w:rFonts w:ascii="TimesNewRoman" w:hAnsi="TimesNewRoman" w:eastAsia="黑体" w:cs="TimesNewRoman"/>
          <w:sz w:val="32"/>
          <w:szCs w:val="32"/>
        </w:rPr>
        <w:t>、关于</w:t>
      </w:r>
      <w:r>
        <w:rPr>
          <w:rFonts w:hint="eastAsia" w:ascii="TimesNewRoman" w:hAnsi="TimesNewRoman" w:eastAsia="黑体" w:cs="TimesNewRoman"/>
          <w:sz w:val="32"/>
          <w:szCs w:val="32"/>
        </w:rPr>
        <w:t>2025</w:t>
      </w:r>
      <w:r>
        <w:rPr>
          <w:rFonts w:ascii="TimesNewRoman" w:hAnsi="TimesNewRoman" w:eastAsia="黑体" w:cs="TimesNewRoman"/>
          <w:sz w:val="32"/>
          <w:szCs w:val="32"/>
        </w:rPr>
        <w:t>年通用资产配置支出表的说明</w:t>
      </w:r>
    </w:p>
    <w:p w14:paraId="45514A96">
      <w:pPr>
        <w:pStyle w:val="7"/>
        <w:adjustRightInd w:val="0"/>
        <w:snapToGrid w:val="0"/>
        <w:spacing w:line="560" w:lineRule="exact"/>
        <w:ind w:firstLine="640" w:firstLineChars="200"/>
        <w:outlineLvl w:val="0"/>
        <w:rPr>
          <w:rFonts w:ascii="TimesNewRoman" w:hAnsi="TimesNewRoman" w:eastAsia="仿宋_GB2312" w:cs="TimesNewRoman"/>
          <w:sz w:val="32"/>
          <w:szCs w:val="32"/>
        </w:rPr>
      </w:pPr>
      <w:r>
        <w:rPr>
          <w:rFonts w:hint="eastAsia" w:ascii="TimesNewRoman" w:hAnsi="TimesNewRoman" w:eastAsia="仿宋_GB2312" w:cs="TimesNewRoman"/>
          <w:sz w:val="32"/>
          <w:szCs w:val="32"/>
          <w:lang w:eastAsia="zh-CN"/>
        </w:rPr>
        <w:t>淮北市司法局</w:t>
      </w:r>
      <w:r>
        <w:rPr>
          <w:rFonts w:hint="eastAsia" w:ascii="TimesNewRoman" w:hAnsi="TimesNewRoman" w:eastAsia="仿宋_GB2312" w:cs="TimesNewRoman"/>
          <w:sz w:val="32"/>
          <w:szCs w:val="32"/>
        </w:rPr>
        <w:t>2025</w:t>
      </w:r>
      <w:r>
        <w:rPr>
          <w:rFonts w:ascii="TimesNewRoman" w:hAnsi="TimesNewRoman" w:eastAsia="仿宋_GB2312" w:cs="TimesNewRoman"/>
          <w:sz w:val="32"/>
          <w:szCs w:val="32"/>
        </w:rPr>
        <w:t>年没有安排通用资产配置支出。</w:t>
      </w:r>
    </w:p>
    <w:p w14:paraId="1018622D">
      <w:pPr>
        <w:pStyle w:val="7"/>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十三、其他重要事项情况说明</w:t>
      </w:r>
    </w:p>
    <w:p w14:paraId="31494420">
      <w:pPr>
        <w:adjustRightInd w:val="0"/>
        <w:snapToGrid w:val="0"/>
        <w:spacing w:line="580" w:lineRule="exact"/>
        <w:ind w:firstLine="643" w:firstLineChars="200"/>
        <w:rPr>
          <w:rFonts w:ascii="仿宋_GB2312" w:hAnsi="楷体" w:eastAsia="仿宋_GB2312"/>
          <w:b/>
          <w:sz w:val="32"/>
          <w:szCs w:val="32"/>
        </w:rPr>
      </w:pPr>
      <w:r>
        <w:rPr>
          <w:rFonts w:hint="eastAsia" w:ascii="仿宋" w:hAnsi="仿宋" w:eastAsia="仿宋_GB2312" w:cs="TimesNewRoman"/>
          <w:b/>
          <w:sz w:val="32"/>
          <w:szCs w:val="32"/>
        </w:rPr>
        <w:t>（一）项目及绩效目标情况。</w:t>
      </w:r>
    </w:p>
    <w:tbl>
      <w:tblPr>
        <w:tblStyle w:val="8"/>
        <w:tblW w:w="0" w:type="auto"/>
        <w:tblInd w:w="93" w:type="dxa"/>
        <w:tblLayout w:type="fixed"/>
        <w:tblCellMar>
          <w:top w:w="0" w:type="dxa"/>
          <w:left w:w="108" w:type="dxa"/>
          <w:bottom w:w="0" w:type="dxa"/>
          <w:right w:w="108" w:type="dxa"/>
        </w:tblCellMar>
      </w:tblPr>
      <w:tblGrid>
        <w:gridCol w:w="416"/>
        <w:gridCol w:w="820"/>
        <w:gridCol w:w="940"/>
        <w:gridCol w:w="1523"/>
        <w:gridCol w:w="1200"/>
        <w:gridCol w:w="928"/>
        <w:gridCol w:w="677"/>
        <w:gridCol w:w="1140"/>
        <w:gridCol w:w="840"/>
        <w:gridCol w:w="840"/>
      </w:tblGrid>
      <w:tr w14:paraId="3AC07064">
        <w:tblPrEx>
          <w:tblCellMar>
            <w:top w:w="0" w:type="dxa"/>
            <w:left w:w="108" w:type="dxa"/>
            <w:bottom w:w="0" w:type="dxa"/>
            <w:right w:w="108" w:type="dxa"/>
          </w:tblCellMar>
        </w:tblPrEx>
        <w:trPr>
          <w:trHeight w:val="360" w:hRule="atLeast"/>
        </w:trPr>
        <w:tc>
          <w:tcPr>
            <w:tcW w:w="9324" w:type="dxa"/>
            <w:gridSpan w:val="10"/>
            <w:tcBorders>
              <w:top w:val="nil"/>
              <w:left w:val="nil"/>
              <w:bottom w:val="nil"/>
              <w:right w:val="nil"/>
            </w:tcBorders>
            <w:noWrap w:val="0"/>
            <w:vAlign w:val="center"/>
          </w:tcPr>
          <w:p w14:paraId="06EA809F">
            <w:pPr>
              <w:adjustRightInd w:val="0"/>
              <w:snapToGrid w:val="0"/>
              <w:spacing w:line="600" w:lineRule="exact"/>
              <w:ind w:firstLine="803" w:firstLineChars="250"/>
              <w:rPr>
                <w:rFonts w:ascii="仿宋_GB2312" w:hAnsi="楷体" w:eastAsia="仿宋_GB2312"/>
                <w:b/>
                <w:sz w:val="32"/>
                <w:szCs w:val="32"/>
              </w:rPr>
            </w:pPr>
            <w:r>
              <w:rPr>
                <w:rFonts w:hint="eastAsia" w:ascii="仿宋_GB2312" w:hAnsi="楷体" w:eastAsia="仿宋_GB2312"/>
                <w:b/>
                <w:sz w:val="32"/>
                <w:szCs w:val="32"/>
                <w:lang w:val="en-US" w:eastAsia="zh-CN"/>
              </w:rPr>
              <w:t>1</w:t>
            </w:r>
            <w:r>
              <w:rPr>
                <w:rFonts w:hint="eastAsia" w:ascii="仿宋_GB2312" w:hAnsi="楷体" w:eastAsia="仿宋_GB2312"/>
                <w:b/>
                <w:sz w:val="32"/>
                <w:szCs w:val="32"/>
              </w:rPr>
              <w:t>.“法律援助经费”项目。</w:t>
            </w:r>
          </w:p>
          <w:p w14:paraId="7B3DB63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（1）项目概述。法律援助中心是执行政府的职能，是保障弱势群体获得必要的法律服务机构，为了促进和规范法律援助工作，特申请法律援助经费。</w:t>
            </w:r>
          </w:p>
          <w:p w14:paraId="668B740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立项依据。法律援助中心是执行政府的职能，是保障弱势群体获得必要的法律服务机构，为了促进和规范法律援助工作，特申请法律援助经费。国务院《法律援助条例》、《安徽省法律援助条例》、财政法[2005]474号文件。</w:t>
            </w:r>
          </w:p>
          <w:p w14:paraId="2C1BF5E7">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（3）实施主体：淮北市法律援助中心</w:t>
            </w:r>
          </w:p>
          <w:p w14:paraId="7FA4BDC0">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（4）起止时间。202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年1月-202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年12月</w:t>
            </w:r>
          </w:p>
          <w:p w14:paraId="5F0A22CE">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（5）项目内容。认真贯彻执行《法律援助条例》、《安徽省法律援助条例》及202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城乡困难群体法律援助实施方案》的法律援助事项和经济困难标准的规定。办理城乡困难群体法律援助案件不低于300件，积极实施法律援助宣传、培训、值班等工作。法律援助是一项扶助贫弱、保障社会弱势群体合法权益的社会公益事业，也是我国实践依法治国方略，法律援助宣传全面建设小康社会的重要举措。淮北市法律援助中心自成立以来，积极拓展法律援助工作，努力维护弱势群体的合法权益，得到了群众的广泛认可，取得了一定的社会效益，为构建“和谐社会”“文明淮北”做出了应有的贡献。</w:t>
            </w:r>
          </w:p>
          <w:p w14:paraId="30E8D2C1">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（6）年度预算安排。淮北市法律援助中心全年办理案件不低于2</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0件目标；法律援助案件质量要符合中央和省案件质量评查标准；开展民生工程各项工作，为农民工、老年人、妇女、残疾人、未成年人、军人军属各类困难群体开展法律援助帮助。</w:t>
            </w:r>
          </w:p>
          <w:p w14:paraId="23E107C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（7）绩效目标。</w:t>
            </w:r>
          </w:p>
          <w:p w14:paraId="7D795A2F">
            <w:pPr>
              <w:ind w:firstLine="2731" w:firstLineChars="850"/>
              <w:rPr>
                <w:rFonts w:hint="eastAsia"/>
                <w:b/>
                <w:bCs/>
                <w:sz w:val="32"/>
                <w:szCs w:val="32"/>
              </w:rPr>
            </w:pPr>
          </w:p>
          <w:p w14:paraId="72BAD369">
            <w:pPr>
              <w:ind w:firstLine="2731" w:firstLineChars="850"/>
              <w:rPr>
                <w:rFonts w:hint="eastAsia"/>
                <w:b/>
                <w:bCs/>
                <w:sz w:val="32"/>
                <w:szCs w:val="32"/>
              </w:rPr>
            </w:pPr>
          </w:p>
          <w:p w14:paraId="3EA8C546">
            <w:pPr>
              <w:ind w:firstLine="2731" w:firstLineChars="850"/>
              <w:rPr>
                <w:rFonts w:hint="eastAsia"/>
                <w:b/>
                <w:bCs/>
                <w:sz w:val="32"/>
                <w:szCs w:val="32"/>
              </w:rPr>
            </w:pPr>
          </w:p>
          <w:p w14:paraId="42C15CF8">
            <w:pPr>
              <w:ind w:firstLine="2731" w:firstLineChars="850"/>
              <w:rPr>
                <w:rFonts w:hint="eastAsia"/>
                <w:b/>
                <w:bCs/>
                <w:sz w:val="32"/>
                <w:szCs w:val="32"/>
              </w:rPr>
            </w:pPr>
          </w:p>
          <w:p w14:paraId="0C6B87F3">
            <w:pPr>
              <w:ind w:firstLine="2731" w:firstLineChars="850"/>
              <w:rPr>
                <w:rFonts w:hint="eastAsia"/>
                <w:b/>
                <w:bCs/>
                <w:sz w:val="32"/>
                <w:szCs w:val="32"/>
              </w:rPr>
            </w:pPr>
          </w:p>
          <w:p w14:paraId="12709A52">
            <w:pPr>
              <w:ind w:firstLine="2731" w:firstLineChars="850"/>
              <w:rPr>
                <w:rFonts w:hint="eastAsia"/>
                <w:b/>
                <w:bCs/>
                <w:sz w:val="32"/>
                <w:szCs w:val="32"/>
              </w:rPr>
            </w:pPr>
          </w:p>
          <w:p w14:paraId="4C5B5D6C">
            <w:pPr>
              <w:ind w:firstLine="2731" w:firstLineChars="850"/>
              <w:rPr>
                <w:rFonts w:ascii="宋体" w:hAnsi="宋体" w:cs="宋体"/>
                <w:b/>
                <w:bCs/>
                <w:sz w:val="32"/>
                <w:szCs w:val="32"/>
              </w:rPr>
            </w:pPr>
            <w:r>
              <w:rPr>
                <w:rFonts w:hint="eastAsia"/>
                <w:b/>
                <w:bCs/>
                <w:sz w:val="32"/>
                <w:szCs w:val="32"/>
              </w:rPr>
              <w:t>项目支出绩效目标表</w:t>
            </w:r>
          </w:p>
        </w:tc>
      </w:tr>
      <w:tr w14:paraId="43CB0B50">
        <w:tblPrEx>
          <w:tblCellMar>
            <w:top w:w="0" w:type="dxa"/>
            <w:left w:w="108" w:type="dxa"/>
            <w:bottom w:w="0" w:type="dxa"/>
            <w:right w:w="108" w:type="dxa"/>
          </w:tblCellMar>
        </w:tblPrEx>
        <w:trPr>
          <w:trHeight w:val="270" w:hRule="atLeast"/>
        </w:trPr>
        <w:tc>
          <w:tcPr>
            <w:tcW w:w="9324" w:type="dxa"/>
            <w:gridSpan w:val="10"/>
            <w:tcBorders>
              <w:top w:val="nil"/>
              <w:left w:val="nil"/>
              <w:bottom w:val="nil"/>
              <w:right w:val="nil"/>
            </w:tcBorders>
            <w:noWrap w:val="0"/>
            <w:vAlign w:val="center"/>
          </w:tcPr>
          <w:p w14:paraId="5C68BE70">
            <w:pPr>
              <w:jc w:val="center"/>
              <w:rPr>
                <w:rFonts w:ascii="宋体" w:hAnsi="宋体" w:cs="宋体"/>
                <w:sz w:val="20"/>
                <w:szCs w:val="20"/>
              </w:rPr>
            </w:pPr>
            <w:r>
              <w:rPr>
                <w:rFonts w:hint="eastAsia"/>
                <w:sz w:val="20"/>
                <w:szCs w:val="20"/>
              </w:rPr>
              <w:t>（202</w:t>
            </w:r>
            <w:r>
              <w:rPr>
                <w:rFonts w:hint="eastAsia"/>
                <w:sz w:val="20"/>
                <w:szCs w:val="20"/>
                <w:lang w:val="en-US" w:eastAsia="zh-CN"/>
              </w:rPr>
              <w:t>5</w:t>
            </w:r>
            <w:r>
              <w:rPr>
                <w:rFonts w:hint="eastAsia"/>
                <w:sz w:val="20"/>
                <w:szCs w:val="20"/>
              </w:rPr>
              <w:t xml:space="preserve"> 年度）</w:t>
            </w:r>
          </w:p>
        </w:tc>
      </w:tr>
      <w:tr w14:paraId="78946958">
        <w:tblPrEx>
          <w:tblCellMar>
            <w:top w:w="0" w:type="dxa"/>
            <w:left w:w="108" w:type="dxa"/>
            <w:bottom w:w="0" w:type="dxa"/>
            <w:right w:w="108" w:type="dxa"/>
          </w:tblCellMar>
        </w:tblPrEx>
        <w:trPr>
          <w:trHeight w:val="330" w:hRule="atLeast"/>
        </w:trPr>
        <w:tc>
          <w:tcPr>
            <w:tcW w:w="1236" w:type="dxa"/>
            <w:gridSpan w:val="2"/>
            <w:tcBorders>
              <w:top w:val="single" w:color="auto" w:sz="4" w:space="0"/>
              <w:left w:val="single" w:color="auto" w:sz="4" w:space="0"/>
              <w:bottom w:val="single" w:color="auto" w:sz="4" w:space="0"/>
              <w:right w:val="single" w:color="auto" w:sz="4" w:space="0"/>
            </w:tcBorders>
            <w:noWrap w:val="0"/>
            <w:vAlign w:val="center"/>
          </w:tcPr>
          <w:p w14:paraId="25D4EF3B">
            <w:pPr>
              <w:jc w:val="center"/>
              <w:rPr>
                <w:rFonts w:ascii="宋体" w:hAnsi="宋体" w:cs="宋体"/>
                <w:color w:val="000000"/>
                <w:sz w:val="20"/>
                <w:szCs w:val="20"/>
              </w:rPr>
            </w:pPr>
            <w:r>
              <w:rPr>
                <w:rFonts w:hint="eastAsia"/>
                <w:color w:val="000000"/>
                <w:sz w:val="20"/>
                <w:szCs w:val="20"/>
              </w:rPr>
              <w:t>项目名称</w:t>
            </w:r>
          </w:p>
        </w:tc>
        <w:tc>
          <w:tcPr>
            <w:tcW w:w="8088" w:type="dxa"/>
            <w:gridSpan w:val="8"/>
            <w:tcBorders>
              <w:top w:val="single" w:color="auto" w:sz="4" w:space="0"/>
              <w:left w:val="nil"/>
              <w:bottom w:val="single" w:color="auto" w:sz="4" w:space="0"/>
              <w:right w:val="single" w:color="000000" w:sz="4" w:space="0"/>
            </w:tcBorders>
            <w:noWrap w:val="0"/>
            <w:vAlign w:val="center"/>
          </w:tcPr>
          <w:p w14:paraId="1FBAFAD5">
            <w:pPr>
              <w:rPr>
                <w:rFonts w:ascii="宋体" w:hAnsi="宋体" w:cs="宋体"/>
                <w:color w:val="000000"/>
                <w:sz w:val="20"/>
                <w:szCs w:val="20"/>
              </w:rPr>
            </w:pPr>
            <w:r>
              <w:rPr>
                <w:rFonts w:hint="eastAsia"/>
                <w:color w:val="000000"/>
                <w:sz w:val="20"/>
                <w:szCs w:val="20"/>
              </w:rPr>
              <w:t>法律援助经费</w:t>
            </w:r>
          </w:p>
        </w:tc>
      </w:tr>
      <w:tr w14:paraId="19DAB807">
        <w:tblPrEx>
          <w:tblCellMar>
            <w:top w:w="0" w:type="dxa"/>
            <w:left w:w="108" w:type="dxa"/>
            <w:bottom w:w="0" w:type="dxa"/>
            <w:right w:w="108" w:type="dxa"/>
          </w:tblCellMar>
        </w:tblPrEx>
        <w:trPr>
          <w:trHeight w:val="330" w:hRule="atLeast"/>
        </w:trPr>
        <w:tc>
          <w:tcPr>
            <w:tcW w:w="1236" w:type="dxa"/>
            <w:gridSpan w:val="2"/>
            <w:tcBorders>
              <w:top w:val="single" w:color="auto" w:sz="4" w:space="0"/>
              <w:left w:val="single" w:color="auto" w:sz="4" w:space="0"/>
              <w:bottom w:val="single" w:color="auto" w:sz="4" w:space="0"/>
              <w:right w:val="single" w:color="auto" w:sz="4" w:space="0"/>
            </w:tcBorders>
            <w:noWrap w:val="0"/>
            <w:vAlign w:val="center"/>
          </w:tcPr>
          <w:p w14:paraId="73FA4DF6">
            <w:pPr>
              <w:jc w:val="center"/>
              <w:rPr>
                <w:rFonts w:ascii="宋体" w:hAnsi="宋体" w:cs="宋体"/>
                <w:color w:val="000000"/>
                <w:sz w:val="20"/>
                <w:szCs w:val="20"/>
              </w:rPr>
            </w:pPr>
            <w:r>
              <w:rPr>
                <w:rFonts w:hint="eastAsia"/>
                <w:color w:val="000000"/>
                <w:sz w:val="20"/>
                <w:szCs w:val="20"/>
              </w:rPr>
              <w:t>实施单位</w:t>
            </w:r>
          </w:p>
        </w:tc>
        <w:tc>
          <w:tcPr>
            <w:tcW w:w="8088" w:type="dxa"/>
            <w:gridSpan w:val="8"/>
            <w:tcBorders>
              <w:top w:val="single" w:color="auto" w:sz="4" w:space="0"/>
              <w:left w:val="nil"/>
              <w:bottom w:val="single" w:color="auto" w:sz="4" w:space="0"/>
              <w:right w:val="single" w:color="auto" w:sz="4" w:space="0"/>
            </w:tcBorders>
            <w:noWrap w:val="0"/>
            <w:vAlign w:val="center"/>
          </w:tcPr>
          <w:p w14:paraId="060B1CF7">
            <w:pPr>
              <w:rPr>
                <w:rFonts w:ascii="宋体" w:hAnsi="宋体" w:cs="宋体"/>
                <w:color w:val="000000"/>
                <w:sz w:val="20"/>
                <w:szCs w:val="20"/>
              </w:rPr>
            </w:pPr>
            <w:r>
              <w:rPr>
                <w:rFonts w:hint="eastAsia"/>
                <w:color w:val="000000"/>
                <w:sz w:val="20"/>
                <w:szCs w:val="20"/>
              </w:rPr>
              <w:t>淮北市法律援助中心</w:t>
            </w:r>
          </w:p>
        </w:tc>
      </w:tr>
      <w:tr w14:paraId="21D5F53F">
        <w:tblPrEx>
          <w:tblCellMar>
            <w:top w:w="0" w:type="dxa"/>
            <w:left w:w="108" w:type="dxa"/>
            <w:bottom w:w="0" w:type="dxa"/>
            <w:right w:w="108" w:type="dxa"/>
          </w:tblCellMar>
        </w:tblPrEx>
        <w:trPr>
          <w:trHeight w:val="330" w:hRule="atLeast"/>
        </w:trPr>
        <w:tc>
          <w:tcPr>
            <w:tcW w:w="1236" w:type="dxa"/>
            <w:gridSpan w:val="2"/>
            <w:tcBorders>
              <w:top w:val="single" w:color="auto" w:sz="4" w:space="0"/>
              <w:left w:val="single" w:color="auto" w:sz="4" w:space="0"/>
              <w:bottom w:val="single" w:color="auto" w:sz="4" w:space="0"/>
              <w:right w:val="single" w:color="auto" w:sz="4" w:space="0"/>
            </w:tcBorders>
            <w:noWrap w:val="0"/>
            <w:vAlign w:val="center"/>
          </w:tcPr>
          <w:p w14:paraId="09F36575">
            <w:pPr>
              <w:jc w:val="center"/>
              <w:rPr>
                <w:rFonts w:ascii="宋体" w:hAnsi="宋体" w:cs="宋体"/>
                <w:color w:val="000000"/>
                <w:sz w:val="20"/>
                <w:szCs w:val="20"/>
              </w:rPr>
            </w:pPr>
            <w:r>
              <w:rPr>
                <w:rFonts w:hint="eastAsia"/>
                <w:color w:val="000000"/>
                <w:sz w:val="20"/>
                <w:szCs w:val="20"/>
              </w:rPr>
              <w:t>项目属性</w:t>
            </w:r>
          </w:p>
        </w:tc>
        <w:tc>
          <w:tcPr>
            <w:tcW w:w="8088" w:type="dxa"/>
            <w:gridSpan w:val="8"/>
            <w:tcBorders>
              <w:top w:val="single" w:color="auto" w:sz="4" w:space="0"/>
              <w:left w:val="nil"/>
              <w:bottom w:val="single" w:color="auto" w:sz="4" w:space="0"/>
              <w:right w:val="single" w:color="auto" w:sz="4" w:space="0"/>
            </w:tcBorders>
            <w:noWrap w:val="0"/>
            <w:vAlign w:val="center"/>
          </w:tcPr>
          <w:p w14:paraId="791A4B0A">
            <w:pPr>
              <w:rPr>
                <w:rFonts w:ascii="宋体" w:hAnsi="宋体" w:cs="宋体"/>
                <w:color w:val="000000"/>
                <w:sz w:val="20"/>
                <w:szCs w:val="20"/>
              </w:rPr>
            </w:pPr>
            <w:r>
              <w:rPr>
                <w:rFonts w:hint="eastAsia"/>
                <w:color w:val="000000"/>
                <w:sz w:val="20"/>
                <w:szCs w:val="20"/>
              </w:rPr>
              <w:t>经常性项目</w:t>
            </w:r>
          </w:p>
        </w:tc>
      </w:tr>
      <w:tr w14:paraId="2045EFCE">
        <w:tblPrEx>
          <w:tblCellMar>
            <w:top w:w="0" w:type="dxa"/>
            <w:left w:w="108" w:type="dxa"/>
            <w:bottom w:w="0" w:type="dxa"/>
            <w:right w:w="108" w:type="dxa"/>
          </w:tblCellMar>
        </w:tblPrEx>
        <w:trPr>
          <w:trHeight w:val="330" w:hRule="atLeast"/>
        </w:trPr>
        <w:tc>
          <w:tcPr>
            <w:tcW w:w="2176"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14:paraId="704E4E43">
            <w:pPr>
              <w:jc w:val="center"/>
              <w:rPr>
                <w:rFonts w:hint="eastAsia" w:eastAsia="宋体"/>
                <w:sz w:val="20"/>
                <w:szCs w:val="20"/>
                <w:lang w:eastAsia="zh-CN"/>
              </w:rPr>
            </w:pPr>
            <w:r>
              <w:rPr>
                <w:rFonts w:hint="eastAsia"/>
                <w:sz w:val="20"/>
                <w:szCs w:val="20"/>
              </w:rPr>
              <w:t>项目资金</w:t>
            </w:r>
          </w:p>
          <w:p w14:paraId="7597D9B9">
            <w:pPr>
              <w:jc w:val="center"/>
              <w:rPr>
                <w:rFonts w:ascii="宋体" w:hAnsi="宋体" w:cs="宋体"/>
                <w:sz w:val="20"/>
                <w:szCs w:val="20"/>
              </w:rPr>
            </w:pPr>
            <w:r>
              <w:rPr>
                <w:rFonts w:hint="eastAsia"/>
                <w:sz w:val="20"/>
                <w:szCs w:val="20"/>
              </w:rPr>
              <w:t>（万元）</w:t>
            </w:r>
          </w:p>
        </w:tc>
        <w:tc>
          <w:tcPr>
            <w:tcW w:w="1523" w:type="dxa"/>
            <w:tcBorders>
              <w:top w:val="nil"/>
              <w:left w:val="nil"/>
              <w:bottom w:val="single" w:color="auto" w:sz="4" w:space="0"/>
              <w:right w:val="single" w:color="auto" w:sz="4" w:space="0"/>
            </w:tcBorders>
            <w:noWrap w:val="0"/>
            <w:vAlign w:val="center"/>
          </w:tcPr>
          <w:p w14:paraId="7901C711">
            <w:pPr>
              <w:rPr>
                <w:rFonts w:ascii="宋体" w:hAnsi="宋体" w:cs="宋体"/>
                <w:sz w:val="20"/>
                <w:szCs w:val="20"/>
              </w:rPr>
            </w:pPr>
            <w:r>
              <w:rPr>
                <w:rFonts w:hint="eastAsia"/>
                <w:sz w:val="20"/>
                <w:szCs w:val="20"/>
              </w:rPr>
              <w:t>中期资金总额：</w:t>
            </w:r>
          </w:p>
        </w:tc>
        <w:tc>
          <w:tcPr>
            <w:tcW w:w="2128" w:type="dxa"/>
            <w:gridSpan w:val="2"/>
            <w:tcBorders>
              <w:top w:val="single" w:color="auto" w:sz="4" w:space="0"/>
              <w:left w:val="nil"/>
              <w:bottom w:val="single" w:color="auto" w:sz="4" w:space="0"/>
              <w:right w:val="single" w:color="auto" w:sz="4" w:space="0"/>
            </w:tcBorders>
            <w:noWrap w:val="0"/>
            <w:vAlign w:val="center"/>
          </w:tcPr>
          <w:p w14:paraId="5D222874">
            <w:pPr>
              <w:jc w:val="center"/>
              <w:rPr>
                <w:rFonts w:hint="default" w:ascii="宋体" w:hAnsi="宋体" w:eastAsia="宋体" w:cs="宋体"/>
                <w:sz w:val="20"/>
                <w:szCs w:val="20"/>
                <w:lang w:val="en-US" w:eastAsia="zh-CN"/>
              </w:rPr>
            </w:pPr>
            <w:r>
              <w:rPr>
                <w:rFonts w:hint="eastAsia"/>
                <w:sz w:val="20"/>
                <w:szCs w:val="20"/>
                <w:lang w:val="en-US" w:eastAsia="zh-CN"/>
              </w:rPr>
              <w:t>21.9</w:t>
            </w:r>
          </w:p>
        </w:tc>
        <w:tc>
          <w:tcPr>
            <w:tcW w:w="1817" w:type="dxa"/>
            <w:gridSpan w:val="2"/>
            <w:tcBorders>
              <w:top w:val="single" w:color="auto" w:sz="4" w:space="0"/>
              <w:left w:val="nil"/>
              <w:bottom w:val="single" w:color="auto" w:sz="4" w:space="0"/>
              <w:right w:val="single" w:color="auto" w:sz="4" w:space="0"/>
            </w:tcBorders>
            <w:noWrap w:val="0"/>
            <w:vAlign w:val="center"/>
          </w:tcPr>
          <w:p w14:paraId="52046480">
            <w:pPr>
              <w:rPr>
                <w:rFonts w:ascii="宋体" w:hAnsi="宋体" w:cs="宋体"/>
                <w:sz w:val="20"/>
                <w:szCs w:val="20"/>
              </w:rPr>
            </w:pPr>
            <w:r>
              <w:rPr>
                <w:rFonts w:hint="eastAsia"/>
                <w:sz w:val="20"/>
                <w:szCs w:val="20"/>
              </w:rPr>
              <w:t xml:space="preserve"> 年度资金总额：</w:t>
            </w:r>
          </w:p>
        </w:tc>
        <w:tc>
          <w:tcPr>
            <w:tcW w:w="1680" w:type="dxa"/>
            <w:gridSpan w:val="2"/>
            <w:tcBorders>
              <w:top w:val="single" w:color="auto" w:sz="4" w:space="0"/>
              <w:left w:val="nil"/>
              <w:bottom w:val="single" w:color="auto" w:sz="4" w:space="0"/>
              <w:right w:val="single" w:color="000000" w:sz="4" w:space="0"/>
            </w:tcBorders>
            <w:noWrap w:val="0"/>
            <w:vAlign w:val="center"/>
          </w:tcPr>
          <w:p w14:paraId="756D0A88">
            <w:pPr>
              <w:jc w:val="center"/>
              <w:rPr>
                <w:rFonts w:ascii="宋体" w:hAnsi="宋体" w:cs="宋体"/>
                <w:sz w:val="20"/>
                <w:szCs w:val="20"/>
              </w:rPr>
            </w:pPr>
            <w:r>
              <w:rPr>
                <w:rFonts w:hint="eastAsia"/>
                <w:sz w:val="20"/>
                <w:szCs w:val="20"/>
              </w:rPr>
              <w:t>21.9</w:t>
            </w:r>
          </w:p>
        </w:tc>
      </w:tr>
      <w:tr w14:paraId="7610B047">
        <w:tblPrEx>
          <w:tblCellMar>
            <w:top w:w="0" w:type="dxa"/>
            <w:left w:w="108" w:type="dxa"/>
            <w:bottom w:w="0" w:type="dxa"/>
            <w:right w:w="108" w:type="dxa"/>
          </w:tblCellMar>
        </w:tblPrEx>
        <w:trPr>
          <w:trHeight w:val="330" w:hRule="atLeast"/>
        </w:trPr>
        <w:tc>
          <w:tcPr>
            <w:tcW w:w="2176"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14:paraId="52E7D091">
            <w:pPr>
              <w:rPr>
                <w:rFonts w:ascii="宋体" w:hAnsi="宋体" w:cs="宋体"/>
                <w:sz w:val="20"/>
                <w:szCs w:val="20"/>
              </w:rPr>
            </w:pPr>
          </w:p>
        </w:tc>
        <w:tc>
          <w:tcPr>
            <w:tcW w:w="1523" w:type="dxa"/>
            <w:tcBorders>
              <w:top w:val="nil"/>
              <w:left w:val="nil"/>
              <w:bottom w:val="single" w:color="auto" w:sz="4" w:space="0"/>
              <w:right w:val="single" w:color="auto" w:sz="4" w:space="0"/>
            </w:tcBorders>
            <w:noWrap w:val="0"/>
            <w:vAlign w:val="center"/>
          </w:tcPr>
          <w:p w14:paraId="19DFC59C">
            <w:pPr>
              <w:rPr>
                <w:rFonts w:ascii="宋体" w:hAnsi="宋体" w:cs="宋体"/>
                <w:sz w:val="20"/>
                <w:szCs w:val="20"/>
              </w:rPr>
            </w:pPr>
            <w:r>
              <w:rPr>
                <w:rFonts w:hint="eastAsia"/>
                <w:sz w:val="20"/>
                <w:szCs w:val="20"/>
              </w:rPr>
              <w:t xml:space="preserve">  其中：财政拨款</w:t>
            </w:r>
          </w:p>
        </w:tc>
        <w:tc>
          <w:tcPr>
            <w:tcW w:w="2128" w:type="dxa"/>
            <w:gridSpan w:val="2"/>
            <w:tcBorders>
              <w:top w:val="single" w:color="auto" w:sz="4" w:space="0"/>
              <w:left w:val="nil"/>
              <w:bottom w:val="single" w:color="auto" w:sz="4" w:space="0"/>
              <w:right w:val="single" w:color="auto" w:sz="4" w:space="0"/>
            </w:tcBorders>
            <w:noWrap w:val="0"/>
            <w:vAlign w:val="center"/>
          </w:tcPr>
          <w:p w14:paraId="0BEB07C7">
            <w:pPr>
              <w:jc w:val="center"/>
              <w:rPr>
                <w:rFonts w:hint="default" w:ascii="宋体" w:hAnsi="宋体" w:eastAsia="宋体" w:cs="宋体"/>
                <w:sz w:val="20"/>
                <w:szCs w:val="20"/>
                <w:lang w:val="en-US" w:eastAsia="zh-CN"/>
              </w:rPr>
            </w:pPr>
            <w:r>
              <w:rPr>
                <w:rFonts w:hint="eastAsia"/>
                <w:sz w:val="20"/>
                <w:szCs w:val="20"/>
                <w:lang w:val="en-US" w:eastAsia="zh-CN"/>
              </w:rPr>
              <w:t>21.9</w:t>
            </w:r>
          </w:p>
        </w:tc>
        <w:tc>
          <w:tcPr>
            <w:tcW w:w="1817" w:type="dxa"/>
            <w:gridSpan w:val="2"/>
            <w:tcBorders>
              <w:top w:val="single" w:color="auto" w:sz="4" w:space="0"/>
              <w:left w:val="nil"/>
              <w:bottom w:val="single" w:color="auto" w:sz="4" w:space="0"/>
              <w:right w:val="single" w:color="auto" w:sz="4" w:space="0"/>
            </w:tcBorders>
            <w:noWrap w:val="0"/>
            <w:vAlign w:val="center"/>
          </w:tcPr>
          <w:p w14:paraId="31159A1E">
            <w:pPr>
              <w:rPr>
                <w:rFonts w:ascii="宋体" w:hAnsi="宋体" w:cs="宋体"/>
                <w:sz w:val="20"/>
                <w:szCs w:val="20"/>
              </w:rPr>
            </w:pPr>
            <w:r>
              <w:rPr>
                <w:rFonts w:hint="eastAsia"/>
                <w:sz w:val="20"/>
                <w:szCs w:val="20"/>
              </w:rPr>
              <w:t xml:space="preserve">   其中：财政拨款</w:t>
            </w:r>
          </w:p>
        </w:tc>
        <w:tc>
          <w:tcPr>
            <w:tcW w:w="1680" w:type="dxa"/>
            <w:gridSpan w:val="2"/>
            <w:tcBorders>
              <w:top w:val="single" w:color="auto" w:sz="4" w:space="0"/>
              <w:left w:val="nil"/>
              <w:bottom w:val="single" w:color="auto" w:sz="4" w:space="0"/>
              <w:right w:val="single" w:color="000000" w:sz="4" w:space="0"/>
            </w:tcBorders>
            <w:noWrap w:val="0"/>
            <w:vAlign w:val="center"/>
          </w:tcPr>
          <w:p w14:paraId="2A832008">
            <w:pPr>
              <w:jc w:val="center"/>
              <w:rPr>
                <w:rFonts w:ascii="宋体" w:hAnsi="宋体" w:cs="宋体"/>
                <w:sz w:val="20"/>
                <w:szCs w:val="20"/>
              </w:rPr>
            </w:pPr>
            <w:r>
              <w:rPr>
                <w:rFonts w:hint="eastAsia"/>
                <w:sz w:val="20"/>
                <w:szCs w:val="20"/>
              </w:rPr>
              <w:t>21.9</w:t>
            </w:r>
          </w:p>
        </w:tc>
      </w:tr>
      <w:tr w14:paraId="1000B2E7">
        <w:tblPrEx>
          <w:tblCellMar>
            <w:top w:w="0" w:type="dxa"/>
            <w:left w:w="108" w:type="dxa"/>
            <w:bottom w:w="0" w:type="dxa"/>
            <w:right w:w="108" w:type="dxa"/>
          </w:tblCellMar>
        </w:tblPrEx>
        <w:trPr>
          <w:trHeight w:val="330" w:hRule="atLeast"/>
        </w:trPr>
        <w:tc>
          <w:tcPr>
            <w:tcW w:w="2176"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14:paraId="7E113600">
            <w:pPr>
              <w:rPr>
                <w:rFonts w:ascii="宋体" w:hAnsi="宋体" w:cs="宋体"/>
                <w:sz w:val="20"/>
                <w:szCs w:val="20"/>
              </w:rPr>
            </w:pPr>
          </w:p>
        </w:tc>
        <w:tc>
          <w:tcPr>
            <w:tcW w:w="1523" w:type="dxa"/>
            <w:tcBorders>
              <w:top w:val="nil"/>
              <w:left w:val="nil"/>
              <w:bottom w:val="single" w:color="auto" w:sz="4" w:space="0"/>
              <w:right w:val="single" w:color="auto" w:sz="4" w:space="0"/>
            </w:tcBorders>
            <w:noWrap w:val="0"/>
            <w:vAlign w:val="center"/>
          </w:tcPr>
          <w:p w14:paraId="47FA47E4">
            <w:pPr>
              <w:rPr>
                <w:rFonts w:ascii="宋体" w:hAnsi="宋体" w:cs="宋体"/>
                <w:sz w:val="20"/>
                <w:szCs w:val="20"/>
              </w:rPr>
            </w:pPr>
            <w:r>
              <w:rPr>
                <w:rFonts w:hint="eastAsia"/>
                <w:sz w:val="20"/>
                <w:szCs w:val="20"/>
              </w:rPr>
              <w:t xml:space="preserve">     其他资金</w:t>
            </w:r>
          </w:p>
        </w:tc>
        <w:tc>
          <w:tcPr>
            <w:tcW w:w="2128" w:type="dxa"/>
            <w:gridSpan w:val="2"/>
            <w:tcBorders>
              <w:top w:val="single" w:color="auto" w:sz="4" w:space="0"/>
              <w:left w:val="nil"/>
              <w:bottom w:val="single" w:color="auto" w:sz="4" w:space="0"/>
              <w:right w:val="single" w:color="000000" w:sz="4" w:space="0"/>
            </w:tcBorders>
            <w:noWrap w:val="0"/>
            <w:vAlign w:val="center"/>
          </w:tcPr>
          <w:p w14:paraId="3BBE3D6E">
            <w:pPr>
              <w:jc w:val="center"/>
              <w:rPr>
                <w:rFonts w:ascii="宋体" w:hAnsi="宋体" w:cs="宋体"/>
                <w:sz w:val="20"/>
                <w:szCs w:val="20"/>
              </w:rPr>
            </w:pPr>
            <w:r>
              <w:rPr>
                <w:rFonts w:hint="eastAsia"/>
                <w:sz w:val="20"/>
                <w:szCs w:val="20"/>
              </w:rPr>
              <w:t>　</w:t>
            </w:r>
          </w:p>
        </w:tc>
        <w:tc>
          <w:tcPr>
            <w:tcW w:w="1817" w:type="dxa"/>
            <w:gridSpan w:val="2"/>
            <w:tcBorders>
              <w:top w:val="single" w:color="auto" w:sz="4" w:space="0"/>
              <w:left w:val="nil"/>
              <w:bottom w:val="single" w:color="auto" w:sz="4" w:space="0"/>
              <w:right w:val="single" w:color="auto" w:sz="4" w:space="0"/>
            </w:tcBorders>
            <w:noWrap w:val="0"/>
            <w:vAlign w:val="center"/>
          </w:tcPr>
          <w:p w14:paraId="7C297D39">
            <w:pPr>
              <w:rPr>
                <w:rFonts w:ascii="宋体" w:hAnsi="宋体" w:cs="宋体"/>
                <w:sz w:val="20"/>
                <w:szCs w:val="20"/>
              </w:rPr>
            </w:pPr>
            <w:r>
              <w:rPr>
                <w:rFonts w:hint="eastAsia"/>
                <w:sz w:val="20"/>
                <w:szCs w:val="20"/>
              </w:rPr>
              <w:t xml:space="preserve">        其他资金</w:t>
            </w:r>
          </w:p>
        </w:tc>
        <w:tc>
          <w:tcPr>
            <w:tcW w:w="1680" w:type="dxa"/>
            <w:gridSpan w:val="2"/>
            <w:tcBorders>
              <w:top w:val="single" w:color="auto" w:sz="4" w:space="0"/>
              <w:left w:val="nil"/>
              <w:bottom w:val="single" w:color="auto" w:sz="4" w:space="0"/>
              <w:right w:val="single" w:color="000000" w:sz="4" w:space="0"/>
            </w:tcBorders>
            <w:noWrap w:val="0"/>
            <w:vAlign w:val="center"/>
          </w:tcPr>
          <w:p w14:paraId="641B5351">
            <w:pPr>
              <w:jc w:val="center"/>
              <w:rPr>
                <w:rFonts w:ascii="宋体" w:hAnsi="宋体" w:cs="宋体"/>
                <w:sz w:val="20"/>
                <w:szCs w:val="20"/>
              </w:rPr>
            </w:pPr>
            <w:r>
              <w:rPr>
                <w:rFonts w:hint="eastAsia"/>
                <w:sz w:val="20"/>
                <w:szCs w:val="20"/>
              </w:rPr>
              <w:t>　</w:t>
            </w:r>
          </w:p>
        </w:tc>
      </w:tr>
      <w:tr w14:paraId="66D70B7B">
        <w:tblPrEx>
          <w:tblCellMar>
            <w:top w:w="0" w:type="dxa"/>
            <w:left w:w="108" w:type="dxa"/>
            <w:bottom w:w="0" w:type="dxa"/>
            <w:right w:w="108" w:type="dxa"/>
          </w:tblCellMar>
        </w:tblPrEx>
        <w:trPr>
          <w:trHeight w:val="330" w:hRule="atLeast"/>
        </w:trPr>
        <w:tc>
          <w:tcPr>
            <w:tcW w:w="416" w:type="dxa"/>
            <w:vMerge w:val="restart"/>
            <w:tcBorders>
              <w:top w:val="nil"/>
              <w:left w:val="single" w:color="auto" w:sz="4" w:space="0"/>
              <w:bottom w:val="single" w:color="auto" w:sz="4" w:space="0"/>
              <w:right w:val="single" w:color="auto" w:sz="4" w:space="0"/>
            </w:tcBorders>
            <w:noWrap w:val="0"/>
            <w:vAlign w:val="center"/>
          </w:tcPr>
          <w:p w14:paraId="0C1F58ED">
            <w:pPr>
              <w:jc w:val="center"/>
              <w:rPr>
                <w:rFonts w:hint="eastAsia" w:eastAsia="宋体"/>
                <w:sz w:val="20"/>
                <w:szCs w:val="20"/>
                <w:lang w:eastAsia="zh-CN"/>
              </w:rPr>
            </w:pPr>
            <w:r>
              <w:rPr>
                <w:rFonts w:hint="eastAsia"/>
                <w:sz w:val="20"/>
                <w:szCs w:val="20"/>
              </w:rPr>
              <w:t>总</w:t>
            </w:r>
          </w:p>
          <w:p w14:paraId="203442EA">
            <w:pPr>
              <w:jc w:val="center"/>
              <w:rPr>
                <w:rFonts w:hint="eastAsia" w:eastAsia="宋体"/>
                <w:sz w:val="20"/>
                <w:szCs w:val="20"/>
                <w:lang w:eastAsia="zh-CN"/>
              </w:rPr>
            </w:pPr>
            <w:r>
              <w:rPr>
                <w:rFonts w:hint="eastAsia"/>
                <w:sz w:val="20"/>
                <w:szCs w:val="20"/>
              </w:rPr>
              <w:t>体</w:t>
            </w:r>
          </w:p>
          <w:p w14:paraId="327FF1E7">
            <w:pPr>
              <w:jc w:val="center"/>
              <w:rPr>
                <w:rFonts w:hint="eastAsia" w:eastAsia="宋体"/>
                <w:sz w:val="20"/>
                <w:szCs w:val="20"/>
                <w:lang w:eastAsia="zh-CN"/>
              </w:rPr>
            </w:pPr>
            <w:r>
              <w:rPr>
                <w:rFonts w:hint="eastAsia"/>
                <w:sz w:val="20"/>
                <w:szCs w:val="20"/>
              </w:rPr>
              <w:t>目</w:t>
            </w:r>
          </w:p>
          <w:p w14:paraId="2582861B">
            <w:pPr>
              <w:jc w:val="center"/>
              <w:rPr>
                <w:rFonts w:ascii="宋体" w:hAnsi="宋体" w:cs="宋体"/>
                <w:sz w:val="20"/>
                <w:szCs w:val="20"/>
              </w:rPr>
            </w:pPr>
            <w:r>
              <w:rPr>
                <w:rFonts w:hint="eastAsia"/>
                <w:sz w:val="20"/>
                <w:szCs w:val="20"/>
              </w:rPr>
              <w:t>标</w:t>
            </w:r>
          </w:p>
        </w:tc>
        <w:tc>
          <w:tcPr>
            <w:tcW w:w="5411" w:type="dxa"/>
            <w:gridSpan w:val="5"/>
            <w:tcBorders>
              <w:top w:val="single" w:color="auto" w:sz="4" w:space="0"/>
              <w:left w:val="nil"/>
              <w:bottom w:val="single" w:color="auto" w:sz="4" w:space="0"/>
              <w:right w:val="nil"/>
            </w:tcBorders>
            <w:noWrap w:val="0"/>
            <w:vAlign w:val="center"/>
          </w:tcPr>
          <w:p w14:paraId="7C72D1F4">
            <w:pPr>
              <w:jc w:val="center"/>
              <w:rPr>
                <w:rFonts w:ascii="宋体" w:hAnsi="宋体" w:cs="宋体"/>
                <w:sz w:val="20"/>
                <w:szCs w:val="20"/>
              </w:rPr>
            </w:pPr>
            <w:r>
              <w:rPr>
                <w:rFonts w:hint="eastAsia"/>
                <w:sz w:val="20"/>
                <w:szCs w:val="20"/>
              </w:rPr>
              <w:t>中期目标（20</w:t>
            </w:r>
            <w:r>
              <w:rPr>
                <w:rFonts w:hint="eastAsia"/>
                <w:sz w:val="20"/>
                <w:szCs w:val="20"/>
                <w:lang w:val="en-US" w:eastAsia="zh-CN"/>
              </w:rPr>
              <w:t>22</w:t>
            </w:r>
            <w:r>
              <w:rPr>
                <w:rFonts w:hint="eastAsia"/>
                <w:sz w:val="20"/>
                <w:szCs w:val="20"/>
              </w:rPr>
              <w:t>年—20</w:t>
            </w:r>
            <w:r>
              <w:rPr>
                <w:rFonts w:hint="eastAsia"/>
                <w:sz w:val="20"/>
                <w:szCs w:val="20"/>
                <w:lang w:val="en-US" w:eastAsia="zh-CN"/>
              </w:rPr>
              <w:t>25</w:t>
            </w:r>
            <w:r>
              <w:rPr>
                <w:rFonts w:hint="eastAsia"/>
                <w:sz w:val="20"/>
                <w:szCs w:val="20"/>
              </w:rPr>
              <w:t>年）</w:t>
            </w:r>
          </w:p>
        </w:tc>
        <w:tc>
          <w:tcPr>
            <w:tcW w:w="3497" w:type="dxa"/>
            <w:gridSpan w:val="4"/>
            <w:tcBorders>
              <w:top w:val="single" w:color="auto" w:sz="4" w:space="0"/>
              <w:left w:val="single" w:color="auto" w:sz="4" w:space="0"/>
              <w:bottom w:val="single" w:color="auto" w:sz="4" w:space="0"/>
              <w:right w:val="single" w:color="000000" w:sz="4" w:space="0"/>
            </w:tcBorders>
            <w:noWrap w:val="0"/>
            <w:vAlign w:val="center"/>
          </w:tcPr>
          <w:p w14:paraId="505C7104">
            <w:pPr>
              <w:jc w:val="center"/>
              <w:rPr>
                <w:rFonts w:ascii="宋体" w:hAnsi="宋体" w:cs="宋体"/>
                <w:sz w:val="20"/>
                <w:szCs w:val="20"/>
              </w:rPr>
            </w:pPr>
            <w:r>
              <w:rPr>
                <w:rFonts w:hint="eastAsia"/>
                <w:sz w:val="20"/>
                <w:szCs w:val="20"/>
              </w:rPr>
              <w:t>年度目标</w:t>
            </w:r>
          </w:p>
        </w:tc>
      </w:tr>
      <w:tr w14:paraId="4614536D">
        <w:tblPrEx>
          <w:tblCellMar>
            <w:top w:w="0" w:type="dxa"/>
            <w:left w:w="108" w:type="dxa"/>
            <w:bottom w:w="0" w:type="dxa"/>
            <w:right w:w="108" w:type="dxa"/>
          </w:tblCellMar>
        </w:tblPrEx>
        <w:trPr>
          <w:trHeight w:val="660" w:hRule="atLeast"/>
        </w:trPr>
        <w:tc>
          <w:tcPr>
            <w:tcW w:w="416" w:type="dxa"/>
            <w:vMerge w:val="continue"/>
            <w:tcBorders>
              <w:top w:val="nil"/>
              <w:left w:val="single" w:color="auto" w:sz="4" w:space="0"/>
              <w:bottom w:val="single" w:color="auto" w:sz="4" w:space="0"/>
              <w:right w:val="single" w:color="auto" w:sz="4" w:space="0"/>
            </w:tcBorders>
            <w:noWrap w:val="0"/>
            <w:vAlign w:val="center"/>
          </w:tcPr>
          <w:p w14:paraId="593FB03D">
            <w:pPr>
              <w:rPr>
                <w:rFonts w:ascii="宋体" w:hAnsi="宋体" w:cs="宋体"/>
                <w:sz w:val="20"/>
                <w:szCs w:val="20"/>
              </w:rPr>
            </w:pPr>
          </w:p>
        </w:tc>
        <w:tc>
          <w:tcPr>
            <w:tcW w:w="5411" w:type="dxa"/>
            <w:gridSpan w:val="5"/>
            <w:tcBorders>
              <w:top w:val="single" w:color="auto" w:sz="4" w:space="0"/>
              <w:left w:val="nil"/>
              <w:bottom w:val="single" w:color="auto" w:sz="4" w:space="0"/>
              <w:right w:val="nil"/>
            </w:tcBorders>
            <w:noWrap w:val="0"/>
            <w:vAlign w:val="top"/>
          </w:tcPr>
          <w:p w14:paraId="616C0E60">
            <w:pPr>
              <w:rPr>
                <w:rFonts w:hint="eastAsia" w:eastAsia="宋体"/>
                <w:sz w:val="20"/>
                <w:szCs w:val="20"/>
                <w:lang w:eastAsia="zh-CN"/>
              </w:rPr>
            </w:pPr>
            <w:r>
              <w:rPr>
                <w:rFonts w:hint="eastAsia"/>
                <w:sz w:val="20"/>
                <w:szCs w:val="20"/>
              </w:rPr>
              <w:t xml:space="preserve"> 目标1：主要承担市政府法制咨询服务工作；受市政府委托，组织有关专家、学者参与市政府主要决策的咨询论证，提供相关法律和政策依据；草拟、修改、审核以市政府名义签订的合同、协议以及其他有关法律事务的文书。</w:t>
            </w:r>
          </w:p>
          <w:p w14:paraId="1B31595F">
            <w:pPr>
              <w:rPr>
                <w:rFonts w:hint="eastAsia" w:eastAsia="宋体"/>
                <w:sz w:val="20"/>
                <w:szCs w:val="20"/>
                <w:lang w:eastAsia="zh-CN"/>
              </w:rPr>
            </w:pPr>
            <w:r>
              <w:rPr>
                <w:rFonts w:hint="eastAsia"/>
                <w:sz w:val="20"/>
                <w:szCs w:val="20"/>
              </w:rPr>
              <w:t>目标1：淮北市法律援助中心全年办理案件不低于2</w:t>
            </w:r>
            <w:r>
              <w:rPr>
                <w:rFonts w:hint="eastAsia"/>
                <w:sz w:val="20"/>
                <w:szCs w:val="20"/>
                <w:lang w:val="en-US" w:eastAsia="zh-CN"/>
              </w:rPr>
              <w:t>4</w:t>
            </w:r>
            <w:r>
              <w:rPr>
                <w:rFonts w:hint="eastAsia"/>
                <w:sz w:val="20"/>
                <w:szCs w:val="20"/>
              </w:rPr>
              <w:t>0件目标</w:t>
            </w:r>
          </w:p>
          <w:p w14:paraId="22A15626">
            <w:pPr>
              <w:rPr>
                <w:rFonts w:hint="eastAsia"/>
                <w:sz w:val="20"/>
                <w:szCs w:val="20"/>
              </w:rPr>
            </w:pPr>
            <w:r>
              <w:rPr>
                <w:rFonts w:hint="eastAsia"/>
                <w:sz w:val="20"/>
                <w:szCs w:val="20"/>
              </w:rPr>
              <w:t xml:space="preserve"> 目标2：法律援助案件质量要符合中央和省案件质量评查标准</w:t>
            </w:r>
          </w:p>
          <w:p w14:paraId="5E690DA7">
            <w:pPr>
              <w:rPr>
                <w:rFonts w:hint="eastAsia" w:eastAsia="宋体"/>
                <w:sz w:val="20"/>
                <w:szCs w:val="20"/>
                <w:lang w:eastAsia="zh-CN"/>
              </w:rPr>
            </w:pPr>
            <w:r>
              <w:rPr>
                <w:rFonts w:hint="eastAsia"/>
                <w:sz w:val="20"/>
                <w:szCs w:val="20"/>
              </w:rPr>
              <w:t>目标3：开展民生工程各项工作，为农民工、老年人、妇女、残疾人、未成年人、军人军属各类困难群体开展法律援助帮助。</w:t>
            </w:r>
          </w:p>
          <w:p w14:paraId="6003E9D2">
            <w:pPr>
              <w:pStyle w:val="2"/>
              <w:rPr>
                <w:rFonts w:hint="eastAsia"/>
                <w:lang w:eastAsia="zh-CN"/>
              </w:rPr>
            </w:pPr>
          </w:p>
        </w:tc>
        <w:tc>
          <w:tcPr>
            <w:tcW w:w="3497" w:type="dxa"/>
            <w:gridSpan w:val="4"/>
            <w:tcBorders>
              <w:top w:val="single" w:color="auto" w:sz="4" w:space="0"/>
              <w:left w:val="single" w:color="auto" w:sz="4" w:space="0"/>
              <w:bottom w:val="single" w:color="auto" w:sz="4" w:space="0"/>
              <w:right w:val="single" w:color="000000" w:sz="4" w:space="0"/>
            </w:tcBorders>
            <w:noWrap w:val="0"/>
            <w:vAlign w:val="top"/>
          </w:tcPr>
          <w:p w14:paraId="32C057E4">
            <w:pPr>
              <w:rPr>
                <w:rFonts w:hint="eastAsia" w:eastAsia="宋体"/>
                <w:sz w:val="20"/>
                <w:szCs w:val="20"/>
                <w:lang w:eastAsia="zh-CN"/>
              </w:rPr>
            </w:pPr>
            <w:r>
              <w:rPr>
                <w:rFonts w:hint="eastAsia"/>
                <w:sz w:val="20"/>
                <w:szCs w:val="20"/>
              </w:rPr>
              <w:t>目标1：淮北市法律援助中心全年办理案件不低于</w:t>
            </w:r>
            <w:r>
              <w:rPr>
                <w:rFonts w:hint="eastAsia"/>
                <w:sz w:val="20"/>
                <w:szCs w:val="20"/>
                <w:lang w:val="en-US" w:eastAsia="zh-CN"/>
              </w:rPr>
              <w:t>24</w:t>
            </w:r>
            <w:r>
              <w:rPr>
                <w:rFonts w:hint="eastAsia"/>
                <w:sz w:val="20"/>
                <w:szCs w:val="20"/>
              </w:rPr>
              <w:t>0件目标</w:t>
            </w:r>
          </w:p>
          <w:p w14:paraId="511B5E0A">
            <w:pPr>
              <w:rPr>
                <w:rFonts w:hint="eastAsia"/>
                <w:sz w:val="20"/>
                <w:szCs w:val="20"/>
              </w:rPr>
            </w:pPr>
            <w:r>
              <w:rPr>
                <w:rFonts w:hint="eastAsia"/>
                <w:sz w:val="20"/>
                <w:szCs w:val="20"/>
              </w:rPr>
              <w:t xml:space="preserve"> 目标2：法律援助案件质量要符合中央和省案件质量评查标准</w:t>
            </w:r>
          </w:p>
          <w:p w14:paraId="4CCBFE8F">
            <w:pPr>
              <w:rPr>
                <w:rFonts w:hint="eastAsia" w:eastAsia="宋体"/>
                <w:sz w:val="20"/>
                <w:szCs w:val="20"/>
                <w:lang w:eastAsia="zh-CN"/>
              </w:rPr>
            </w:pPr>
            <w:r>
              <w:rPr>
                <w:rFonts w:hint="eastAsia"/>
                <w:sz w:val="20"/>
                <w:szCs w:val="20"/>
              </w:rPr>
              <w:t>目标3：开展民生工程各项工作，为农民工、老年人、妇女、残疾人、未成年人、军人军属各类困难群体开展法律援助帮助。</w:t>
            </w:r>
          </w:p>
          <w:p w14:paraId="5B07E94F">
            <w:pPr>
              <w:pStyle w:val="2"/>
              <w:rPr>
                <w:rFonts w:hint="eastAsia"/>
                <w:lang w:eastAsia="zh-CN"/>
              </w:rPr>
            </w:pPr>
          </w:p>
        </w:tc>
      </w:tr>
      <w:tr w14:paraId="756FABC8">
        <w:tblPrEx>
          <w:tblCellMar>
            <w:top w:w="0" w:type="dxa"/>
            <w:left w:w="108" w:type="dxa"/>
            <w:bottom w:w="0" w:type="dxa"/>
            <w:right w:w="108" w:type="dxa"/>
          </w:tblCellMar>
        </w:tblPrEx>
        <w:trPr>
          <w:trHeight w:val="830" w:hRule="atLeast"/>
        </w:trPr>
        <w:tc>
          <w:tcPr>
            <w:tcW w:w="416" w:type="dxa"/>
            <w:vMerge w:val="restart"/>
            <w:tcBorders>
              <w:top w:val="nil"/>
              <w:left w:val="single" w:color="auto" w:sz="4" w:space="0"/>
              <w:bottom w:val="single" w:color="000000" w:sz="4" w:space="0"/>
              <w:right w:val="single" w:color="auto" w:sz="4" w:space="0"/>
            </w:tcBorders>
            <w:noWrap w:val="0"/>
            <w:vAlign w:val="center"/>
          </w:tcPr>
          <w:p w14:paraId="5AC89757">
            <w:pPr>
              <w:jc w:val="center"/>
              <w:rPr>
                <w:rFonts w:hint="eastAsia" w:eastAsia="宋体"/>
                <w:sz w:val="20"/>
                <w:szCs w:val="20"/>
                <w:lang w:eastAsia="zh-CN"/>
              </w:rPr>
            </w:pPr>
            <w:r>
              <w:rPr>
                <w:rFonts w:hint="eastAsia"/>
                <w:sz w:val="20"/>
                <w:szCs w:val="20"/>
              </w:rPr>
              <w:t>绩</w:t>
            </w:r>
          </w:p>
          <w:p w14:paraId="38A72081">
            <w:pPr>
              <w:jc w:val="center"/>
              <w:rPr>
                <w:rFonts w:hint="eastAsia" w:eastAsia="宋体"/>
                <w:sz w:val="20"/>
                <w:szCs w:val="20"/>
                <w:lang w:eastAsia="zh-CN"/>
              </w:rPr>
            </w:pPr>
            <w:r>
              <w:rPr>
                <w:rFonts w:hint="eastAsia"/>
                <w:sz w:val="20"/>
                <w:szCs w:val="20"/>
              </w:rPr>
              <w:t>效</w:t>
            </w:r>
          </w:p>
          <w:p w14:paraId="0DBEDAF1">
            <w:pPr>
              <w:jc w:val="center"/>
              <w:rPr>
                <w:rFonts w:hint="eastAsia" w:eastAsia="宋体"/>
                <w:sz w:val="20"/>
                <w:szCs w:val="20"/>
                <w:lang w:eastAsia="zh-CN"/>
              </w:rPr>
            </w:pPr>
            <w:r>
              <w:rPr>
                <w:rFonts w:hint="eastAsia"/>
                <w:sz w:val="20"/>
                <w:szCs w:val="20"/>
              </w:rPr>
              <w:t>指</w:t>
            </w:r>
          </w:p>
          <w:p w14:paraId="2CDB07D7">
            <w:pPr>
              <w:jc w:val="center"/>
              <w:rPr>
                <w:rFonts w:ascii="宋体" w:hAnsi="宋体" w:cs="宋体"/>
                <w:sz w:val="20"/>
                <w:szCs w:val="20"/>
              </w:rPr>
            </w:pPr>
            <w:r>
              <w:rPr>
                <w:rFonts w:hint="eastAsia"/>
                <w:sz w:val="20"/>
                <w:szCs w:val="20"/>
              </w:rPr>
              <w:t>标</w:t>
            </w:r>
          </w:p>
        </w:tc>
        <w:tc>
          <w:tcPr>
            <w:tcW w:w="820" w:type="dxa"/>
            <w:tcBorders>
              <w:top w:val="nil"/>
              <w:left w:val="nil"/>
              <w:bottom w:val="nil"/>
              <w:right w:val="single" w:color="auto" w:sz="4" w:space="0"/>
            </w:tcBorders>
            <w:noWrap w:val="0"/>
            <w:vAlign w:val="center"/>
          </w:tcPr>
          <w:p w14:paraId="2D5EB061">
            <w:pPr>
              <w:jc w:val="center"/>
              <w:rPr>
                <w:rFonts w:hint="eastAsia" w:eastAsia="宋体"/>
                <w:sz w:val="20"/>
                <w:szCs w:val="20"/>
                <w:lang w:eastAsia="zh-CN"/>
              </w:rPr>
            </w:pPr>
            <w:r>
              <w:rPr>
                <w:rFonts w:hint="eastAsia"/>
                <w:sz w:val="20"/>
                <w:szCs w:val="20"/>
              </w:rPr>
              <w:t>一级</w:t>
            </w:r>
          </w:p>
          <w:p w14:paraId="53D83644">
            <w:pPr>
              <w:jc w:val="center"/>
              <w:rPr>
                <w:rFonts w:ascii="宋体" w:hAnsi="宋体" w:cs="宋体"/>
                <w:sz w:val="20"/>
                <w:szCs w:val="20"/>
              </w:rPr>
            </w:pPr>
            <w:r>
              <w:rPr>
                <w:rFonts w:hint="eastAsia"/>
                <w:sz w:val="20"/>
                <w:szCs w:val="20"/>
              </w:rPr>
              <w:t>指标</w:t>
            </w:r>
          </w:p>
        </w:tc>
        <w:tc>
          <w:tcPr>
            <w:tcW w:w="940" w:type="dxa"/>
            <w:tcBorders>
              <w:top w:val="nil"/>
              <w:left w:val="nil"/>
              <w:bottom w:val="single" w:color="auto" w:sz="4" w:space="0"/>
              <w:right w:val="single" w:color="auto" w:sz="4" w:space="0"/>
            </w:tcBorders>
            <w:noWrap w:val="0"/>
            <w:vAlign w:val="center"/>
          </w:tcPr>
          <w:p w14:paraId="586D8D5C">
            <w:pPr>
              <w:jc w:val="center"/>
              <w:rPr>
                <w:sz w:val="20"/>
                <w:szCs w:val="20"/>
              </w:rPr>
            </w:pPr>
            <w:r>
              <w:rPr>
                <w:rFonts w:hint="eastAsia"/>
                <w:sz w:val="20"/>
                <w:szCs w:val="20"/>
              </w:rPr>
              <w:t>二级</w:t>
            </w:r>
          </w:p>
          <w:p w14:paraId="79EBFC27">
            <w:pPr>
              <w:jc w:val="center"/>
              <w:rPr>
                <w:rFonts w:ascii="宋体" w:hAnsi="宋体" w:cs="宋体"/>
                <w:sz w:val="20"/>
                <w:szCs w:val="20"/>
              </w:rPr>
            </w:pPr>
            <w:r>
              <w:rPr>
                <w:rFonts w:hint="eastAsia"/>
                <w:sz w:val="20"/>
                <w:szCs w:val="20"/>
              </w:rPr>
              <w:t>指标</w:t>
            </w:r>
          </w:p>
        </w:tc>
        <w:tc>
          <w:tcPr>
            <w:tcW w:w="1523" w:type="dxa"/>
            <w:tcBorders>
              <w:top w:val="nil"/>
              <w:left w:val="nil"/>
              <w:bottom w:val="single" w:color="auto" w:sz="4" w:space="0"/>
              <w:right w:val="single" w:color="auto" w:sz="4" w:space="0"/>
            </w:tcBorders>
            <w:noWrap w:val="0"/>
            <w:vAlign w:val="center"/>
          </w:tcPr>
          <w:p w14:paraId="424E7879">
            <w:pPr>
              <w:jc w:val="center"/>
              <w:rPr>
                <w:rFonts w:ascii="宋体" w:hAnsi="宋体" w:cs="宋体"/>
                <w:sz w:val="20"/>
                <w:szCs w:val="20"/>
              </w:rPr>
            </w:pPr>
            <w:r>
              <w:rPr>
                <w:rFonts w:hint="eastAsia"/>
                <w:sz w:val="20"/>
                <w:szCs w:val="20"/>
              </w:rPr>
              <w:t>三级指标</w:t>
            </w:r>
          </w:p>
        </w:tc>
        <w:tc>
          <w:tcPr>
            <w:tcW w:w="1200" w:type="dxa"/>
            <w:tcBorders>
              <w:top w:val="nil"/>
              <w:left w:val="nil"/>
              <w:bottom w:val="single" w:color="auto" w:sz="4" w:space="0"/>
              <w:right w:val="single" w:color="auto" w:sz="4" w:space="0"/>
            </w:tcBorders>
            <w:noWrap w:val="0"/>
            <w:vAlign w:val="center"/>
          </w:tcPr>
          <w:p w14:paraId="07B093B5">
            <w:pPr>
              <w:jc w:val="center"/>
              <w:rPr>
                <w:rFonts w:ascii="宋体" w:hAnsi="宋体" w:cs="宋体"/>
                <w:sz w:val="20"/>
                <w:szCs w:val="20"/>
              </w:rPr>
            </w:pPr>
            <w:r>
              <w:rPr>
                <w:rFonts w:hint="eastAsia"/>
                <w:sz w:val="20"/>
                <w:szCs w:val="20"/>
              </w:rPr>
              <w:t>指标值</w:t>
            </w:r>
          </w:p>
        </w:tc>
        <w:tc>
          <w:tcPr>
            <w:tcW w:w="928" w:type="dxa"/>
            <w:tcBorders>
              <w:top w:val="nil"/>
              <w:left w:val="nil"/>
              <w:bottom w:val="single" w:color="auto" w:sz="4" w:space="0"/>
              <w:right w:val="single" w:color="auto" w:sz="4" w:space="0"/>
            </w:tcBorders>
            <w:noWrap w:val="0"/>
            <w:vAlign w:val="center"/>
          </w:tcPr>
          <w:p w14:paraId="6CBD0E2E">
            <w:pPr>
              <w:jc w:val="center"/>
              <w:rPr>
                <w:rFonts w:ascii="宋体" w:hAnsi="宋体" w:cs="宋体"/>
                <w:sz w:val="20"/>
                <w:szCs w:val="20"/>
              </w:rPr>
            </w:pPr>
            <w:r>
              <w:rPr>
                <w:rFonts w:hint="eastAsia"/>
                <w:sz w:val="20"/>
                <w:szCs w:val="20"/>
              </w:rPr>
              <w:t>绩效标准</w:t>
            </w:r>
          </w:p>
        </w:tc>
        <w:tc>
          <w:tcPr>
            <w:tcW w:w="677" w:type="dxa"/>
            <w:tcBorders>
              <w:top w:val="nil"/>
              <w:left w:val="nil"/>
              <w:bottom w:val="single" w:color="auto" w:sz="4" w:space="0"/>
              <w:right w:val="single" w:color="auto" w:sz="4" w:space="0"/>
            </w:tcBorders>
            <w:noWrap w:val="0"/>
            <w:vAlign w:val="center"/>
          </w:tcPr>
          <w:p w14:paraId="38EC05E3">
            <w:pPr>
              <w:jc w:val="center"/>
              <w:rPr>
                <w:sz w:val="20"/>
                <w:szCs w:val="20"/>
              </w:rPr>
            </w:pPr>
            <w:r>
              <w:rPr>
                <w:rFonts w:hint="eastAsia"/>
                <w:sz w:val="20"/>
                <w:szCs w:val="20"/>
              </w:rPr>
              <w:t>二级</w:t>
            </w:r>
          </w:p>
          <w:p w14:paraId="06EDA57D">
            <w:pPr>
              <w:jc w:val="center"/>
              <w:rPr>
                <w:rFonts w:ascii="宋体" w:hAnsi="宋体" w:cs="宋体"/>
                <w:sz w:val="20"/>
                <w:szCs w:val="20"/>
              </w:rPr>
            </w:pPr>
            <w:r>
              <w:rPr>
                <w:rFonts w:hint="eastAsia"/>
                <w:sz w:val="20"/>
                <w:szCs w:val="20"/>
              </w:rPr>
              <w:t>指标</w:t>
            </w:r>
          </w:p>
        </w:tc>
        <w:tc>
          <w:tcPr>
            <w:tcW w:w="1140" w:type="dxa"/>
            <w:tcBorders>
              <w:top w:val="nil"/>
              <w:left w:val="nil"/>
              <w:bottom w:val="single" w:color="auto" w:sz="4" w:space="0"/>
              <w:right w:val="nil"/>
            </w:tcBorders>
            <w:noWrap w:val="0"/>
            <w:vAlign w:val="center"/>
          </w:tcPr>
          <w:p w14:paraId="39509F33">
            <w:pPr>
              <w:jc w:val="center"/>
              <w:rPr>
                <w:rFonts w:ascii="宋体" w:hAnsi="宋体" w:cs="宋体"/>
                <w:sz w:val="20"/>
                <w:szCs w:val="20"/>
              </w:rPr>
            </w:pPr>
            <w:r>
              <w:rPr>
                <w:rFonts w:hint="eastAsia"/>
                <w:sz w:val="20"/>
                <w:szCs w:val="20"/>
              </w:rPr>
              <w:t>三级指标</w:t>
            </w:r>
          </w:p>
        </w:tc>
        <w:tc>
          <w:tcPr>
            <w:tcW w:w="840" w:type="dxa"/>
            <w:tcBorders>
              <w:top w:val="nil"/>
              <w:left w:val="single" w:color="auto" w:sz="4" w:space="0"/>
              <w:bottom w:val="single" w:color="auto" w:sz="4" w:space="0"/>
              <w:right w:val="single" w:color="auto" w:sz="4" w:space="0"/>
            </w:tcBorders>
            <w:noWrap w:val="0"/>
            <w:vAlign w:val="center"/>
          </w:tcPr>
          <w:p w14:paraId="4E372555">
            <w:pPr>
              <w:jc w:val="center"/>
              <w:rPr>
                <w:rFonts w:ascii="宋体" w:hAnsi="宋体" w:cs="宋体"/>
                <w:sz w:val="20"/>
                <w:szCs w:val="20"/>
              </w:rPr>
            </w:pPr>
            <w:r>
              <w:rPr>
                <w:rFonts w:hint="eastAsia"/>
                <w:sz w:val="20"/>
                <w:szCs w:val="20"/>
              </w:rPr>
              <w:t>指标值</w:t>
            </w:r>
          </w:p>
        </w:tc>
        <w:tc>
          <w:tcPr>
            <w:tcW w:w="840" w:type="dxa"/>
            <w:tcBorders>
              <w:top w:val="nil"/>
              <w:left w:val="nil"/>
              <w:bottom w:val="single" w:color="auto" w:sz="4" w:space="0"/>
              <w:right w:val="single" w:color="auto" w:sz="4" w:space="0"/>
            </w:tcBorders>
            <w:noWrap w:val="0"/>
            <w:vAlign w:val="center"/>
          </w:tcPr>
          <w:p w14:paraId="26185F3A">
            <w:pPr>
              <w:jc w:val="center"/>
              <w:rPr>
                <w:rFonts w:ascii="宋体" w:hAnsi="宋体" w:cs="宋体"/>
                <w:sz w:val="20"/>
                <w:szCs w:val="20"/>
              </w:rPr>
            </w:pPr>
            <w:r>
              <w:rPr>
                <w:rFonts w:hint="eastAsia"/>
                <w:sz w:val="20"/>
                <w:szCs w:val="20"/>
              </w:rPr>
              <w:t>绩效标准</w:t>
            </w:r>
          </w:p>
        </w:tc>
      </w:tr>
      <w:tr w14:paraId="79BC8587">
        <w:tblPrEx>
          <w:tblCellMar>
            <w:top w:w="0" w:type="dxa"/>
            <w:left w:w="108" w:type="dxa"/>
            <w:bottom w:w="0" w:type="dxa"/>
            <w:right w:w="108" w:type="dxa"/>
          </w:tblCellMar>
        </w:tblPrEx>
        <w:trPr>
          <w:trHeight w:val="1347"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1982588D">
            <w:pPr>
              <w:rPr>
                <w:rFonts w:ascii="宋体" w:hAnsi="宋体" w:cs="宋体"/>
                <w:sz w:val="20"/>
                <w:szCs w:val="20"/>
              </w:rPr>
            </w:pPr>
          </w:p>
        </w:tc>
        <w:tc>
          <w:tcPr>
            <w:tcW w:w="820" w:type="dxa"/>
            <w:vMerge w:val="restart"/>
            <w:tcBorders>
              <w:top w:val="single" w:color="auto" w:sz="4" w:space="0"/>
              <w:left w:val="single" w:color="auto" w:sz="4" w:space="0"/>
              <w:bottom w:val="single" w:color="auto" w:sz="4" w:space="0"/>
              <w:right w:val="single" w:color="auto" w:sz="4" w:space="0"/>
            </w:tcBorders>
            <w:noWrap w:val="0"/>
            <w:vAlign w:val="center"/>
          </w:tcPr>
          <w:p w14:paraId="65FAB4AE">
            <w:pPr>
              <w:jc w:val="center"/>
              <w:rPr>
                <w:rFonts w:hint="eastAsia" w:eastAsia="宋体"/>
                <w:sz w:val="20"/>
                <w:szCs w:val="20"/>
                <w:lang w:eastAsia="zh-CN"/>
              </w:rPr>
            </w:pPr>
            <w:r>
              <w:rPr>
                <w:rFonts w:hint="eastAsia"/>
                <w:sz w:val="20"/>
                <w:szCs w:val="20"/>
              </w:rPr>
              <w:t>产</w:t>
            </w:r>
          </w:p>
          <w:p w14:paraId="1D3C577D">
            <w:pPr>
              <w:jc w:val="center"/>
              <w:rPr>
                <w:rFonts w:hint="eastAsia" w:eastAsia="宋体"/>
                <w:sz w:val="20"/>
                <w:szCs w:val="20"/>
                <w:lang w:eastAsia="zh-CN"/>
              </w:rPr>
            </w:pPr>
            <w:r>
              <w:rPr>
                <w:rFonts w:hint="eastAsia"/>
                <w:sz w:val="20"/>
                <w:szCs w:val="20"/>
              </w:rPr>
              <w:t>出</w:t>
            </w:r>
          </w:p>
          <w:p w14:paraId="11D664A7">
            <w:pPr>
              <w:jc w:val="center"/>
              <w:rPr>
                <w:rFonts w:hint="eastAsia" w:eastAsia="宋体"/>
                <w:sz w:val="20"/>
                <w:szCs w:val="20"/>
                <w:lang w:eastAsia="zh-CN"/>
              </w:rPr>
            </w:pPr>
            <w:r>
              <w:rPr>
                <w:rFonts w:hint="eastAsia"/>
                <w:sz w:val="20"/>
                <w:szCs w:val="20"/>
              </w:rPr>
              <w:t>指</w:t>
            </w:r>
          </w:p>
          <w:p w14:paraId="2065775C">
            <w:pPr>
              <w:jc w:val="center"/>
              <w:rPr>
                <w:rFonts w:ascii="宋体" w:hAnsi="宋体" w:cs="宋体"/>
                <w:sz w:val="20"/>
                <w:szCs w:val="20"/>
              </w:rPr>
            </w:pPr>
            <w:r>
              <w:rPr>
                <w:rFonts w:hint="eastAsia"/>
                <w:sz w:val="20"/>
                <w:szCs w:val="20"/>
              </w:rPr>
              <w:t>标</w:t>
            </w:r>
          </w:p>
        </w:tc>
        <w:tc>
          <w:tcPr>
            <w:tcW w:w="940" w:type="dxa"/>
            <w:tcBorders>
              <w:top w:val="nil"/>
              <w:left w:val="single" w:color="auto" w:sz="4" w:space="0"/>
              <w:bottom w:val="single" w:color="auto" w:sz="4" w:space="0"/>
              <w:right w:val="single" w:color="auto" w:sz="4" w:space="0"/>
            </w:tcBorders>
            <w:noWrap w:val="0"/>
            <w:vAlign w:val="center"/>
          </w:tcPr>
          <w:p w14:paraId="6CB1F037">
            <w:pPr>
              <w:jc w:val="center"/>
              <w:rPr>
                <w:sz w:val="20"/>
                <w:szCs w:val="20"/>
              </w:rPr>
            </w:pPr>
            <w:r>
              <w:rPr>
                <w:rFonts w:hint="eastAsia"/>
                <w:sz w:val="20"/>
                <w:szCs w:val="20"/>
              </w:rPr>
              <w:t>数量</w:t>
            </w:r>
          </w:p>
          <w:p w14:paraId="5F8594FF">
            <w:pPr>
              <w:jc w:val="center"/>
              <w:rPr>
                <w:rFonts w:ascii="宋体" w:hAnsi="宋体" w:cs="宋体"/>
                <w:sz w:val="20"/>
                <w:szCs w:val="20"/>
              </w:rPr>
            </w:pPr>
            <w:r>
              <w:rPr>
                <w:rFonts w:hint="eastAsia"/>
                <w:sz w:val="20"/>
                <w:szCs w:val="20"/>
              </w:rPr>
              <w:t>指标</w:t>
            </w:r>
          </w:p>
        </w:tc>
        <w:tc>
          <w:tcPr>
            <w:tcW w:w="1523" w:type="dxa"/>
            <w:tcBorders>
              <w:top w:val="nil"/>
              <w:left w:val="nil"/>
              <w:bottom w:val="single" w:color="auto" w:sz="4" w:space="0"/>
              <w:right w:val="single" w:color="auto" w:sz="4" w:space="0"/>
            </w:tcBorders>
            <w:noWrap w:val="0"/>
            <w:vAlign w:val="top"/>
          </w:tcPr>
          <w:p w14:paraId="13D7BDAA">
            <w:pPr>
              <w:rPr>
                <w:rFonts w:ascii="宋体" w:hAnsi="宋体" w:cs="宋体"/>
                <w:sz w:val="20"/>
                <w:szCs w:val="20"/>
              </w:rPr>
            </w:pPr>
            <w:r>
              <w:rPr>
                <w:rFonts w:hint="eastAsia"/>
                <w:sz w:val="20"/>
                <w:szCs w:val="20"/>
              </w:rPr>
              <w:t xml:space="preserve"> 指标1：</w:t>
            </w:r>
            <w:r>
              <w:rPr>
                <w:rFonts w:hint="eastAsia" w:ascii="宋体" w:hAnsi="宋体" w:cs="宋体"/>
                <w:color w:val="000000"/>
                <w:kern w:val="0"/>
                <w:sz w:val="18"/>
                <w:szCs w:val="18"/>
                <w:lang w:bidi="ar"/>
              </w:rPr>
              <w:t>全年办理案件不低于</w:t>
            </w:r>
            <w:r>
              <w:rPr>
                <w:rFonts w:hint="eastAsia" w:ascii="宋体" w:hAnsi="宋体" w:cs="宋体"/>
                <w:color w:val="000000"/>
                <w:kern w:val="0"/>
                <w:sz w:val="18"/>
                <w:szCs w:val="18"/>
                <w:lang w:val="en-US" w:eastAsia="zh-CN" w:bidi="ar"/>
              </w:rPr>
              <w:t>2</w:t>
            </w:r>
            <w:r>
              <w:rPr>
                <w:rFonts w:hint="eastAsia" w:ascii="宋体" w:hAnsi="宋体" w:cs="宋体"/>
                <w:color w:val="000000"/>
                <w:kern w:val="0"/>
                <w:sz w:val="18"/>
                <w:szCs w:val="18"/>
                <w:lang w:bidi="ar"/>
              </w:rPr>
              <w:t>40件目标</w:t>
            </w:r>
          </w:p>
        </w:tc>
        <w:tc>
          <w:tcPr>
            <w:tcW w:w="1200" w:type="dxa"/>
            <w:tcBorders>
              <w:top w:val="nil"/>
              <w:left w:val="nil"/>
              <w:bottom w:val="single" w:color="auto" w:sz="4" w:space="0"/>
              <w:right w:val="single" w:color="auto" w:sz="4" w:space="0"/>
            </w:tcBorders>
            <w:noWrap w:val="0"/>
            <w:vAlign w:val="top"/>
          </w:tcPr>
          <w:p w14:paraId="6E4B8D7E">
            <w:pPr>
              <w:rPr>
                <w:rFonts w:ascii="宋体" w:hAnsi="宋体" w:cs="宋体"/>
                <w:sz w:val="20"/>
                <w:szCs w:val="20"/>
              </w:rPr>
            </w:pPr>
            <w:r>
              <w:rPr>
                <w:rFonts w:hint="eastAsia" w:ascii="宋体" w:hAnsi="宋体" w:cs="宋体"/>
                <w:color w:val="000000"/>
                <w:kern w:val="0"/>
                <w:sz w:val="18"/>
                <w:szCs w:val="18"/>
                <w:lang w:bidi="ar"/>
              </w:rPr>
              <w:t>全年办理案件不低于</w:t>
            </w:r>
            <w:r>
              <w:rPr>
                <w:rFonts w:hint="eastAsia" w:ascii="宋体" w:hAnsi="宋体" w:cs="宋体"/>
                <w:color w:val="000000"/>
                <w:kern w:val="0"/>
                <w:sz w:val="18"/>
                <w:szCs w:val="18"/>
                <w:lang w:val="en-US" w:eastAsia="zh-CN" w:bidi="ar"/>
              </w:rPr>
              <w:t>2</w:t>
            </w:r>
            <w:r>
              <w:rPr>
                <w:rFonts w:hint="eastAsia" w:ascii="宋体" w:hAnsi="宋体" w:cs="宋体"/>
                <w:color w:val="000000"/>
                <w:kern w:val="0"/>
                <w:sz w:val="18"/>
                <w:szCs w:val="18"/>
                <w:lang w:bidi="ar"/>
              </w:rPr>
              <w:t>40件目标</w:t>
            </w:r>
          </w:p>
        </w:tc>
        <w:tc>
          <w:tcPr>
            <w:tcW w:w="928" w:type="dxa"/>
            <w:tcBorders>
              <w:top w:val="nil"/>
              <w:left w:val="nil"/>
              <w:bottom w:val="single" w:color="auto" w:sz="4" w:space="0"/>
              <w:right w:val="single" w:color="auto" w:sz="4" w:space="0"/>
            </w:tcBorders>
            <w:noWrap w:val="0"/>
            <w:vAlign w:val="top"/>
          </w:tcPr>
          <w:p w14:paraId="70C017A5">
            <w:pPr>
              <w:rPr>
                <w:rFonts w:ascii="宋体" w:hAnsi="宋体" w:cs="宋体"/>
                <w:sz w:val="20"/>
                <w:szCs w:val="20"/>
              </w:rPr>
            </w:pPr>
            <w:r>
              <w:rPr>
                <w:rFonts w:hint="eastAsia" w:ascii="宋体" w:hAnsi="宋体" w:cs="宋体"/>
                <w:color w:val="000000"/>
                <w:kern w:val="0"/>
                <w:sz w:val="18"/>
                <w:szCs w:val="18"/>
                <w:lang w:bidi="ar"/>
              </w:rPr>
              <w:t>全年办理案件不低于</w:t>
            </w:r>
            <w:r>
              <w:rPr>
                <w:rFonts w:hint="eastAsia" w:ascii="宋体" w:hAnsi="宋体" w:cs="宋体"/>
                <w:color w:val="000000"/>
                <w:kern w:val="0"/>
                <w:sz w:val="18"/>
                <w:szCs w:val="18"/>
                <w:lang w:val="en-US" w:eastAsia="zh-CN" w:bidi="ar"/>
              </w:rPr>
              <w:t>2</w:t>
            </w:r>
            <w:r>
              <w:rPr>
                <w:rFonts w:hint="eastAsia" w:ascii="宋体" w:hAnsi="宋体" w:cs="宋体"/>
                <w:color w:val="000000"/>
                <w:kern w:val="0"/>
                <w:sz w:val="18"/>
                <w:szCs w:val="18"/>
                <w:lang w:bidi="ar"/>
              </w:rPr>
              <w:t>40件</w:t>
            </w:r>
          </w:p>
        </w:tc>
        <w:tc>
          <w:tcPr>
            <w:tcW w:w="677" w:type="dxa"/>
            <w:tcBorders>
              <w:top w:val="nil"/>
              <w:left w:val="single" w:color="auto" w:sz="4" w:space="0"/>
              <w:bottom w:val="single" w:color="000000" w:sz="4" w:space="0"/>
              <w:right w:val="single" w:color="auto" w:sz="4" w:space="0"/>
            </w:tcBorders>
            <w:noWrap w:val="0"/>
            <w:vAlign w:val="center"/>
          </w:tcPr>
          <w:p w14:paraId="583CD9AB">
            <w:pPr>
              <w:jc w:val="center"/>
              <w:rPr>
                <w:sz w:val="20"/>
                <w:szCs w:val="20"/>
              </w:rPr>
            </w:pPr>
            <w:r>
              <w:rPr>
                <w:rFonts w:hint="eastAsia"/>
                <w:sz w:val="20"/>
                <w:szCs w:val="20"/>
              </w:rPr>
              <w:t>数量</w:t>
            </w:r>
          </w:p>
          <w:p w14:paraId="67958D15">
            <w:pPr>
              <w:jc w:val="center"/>
              <w:rPr>
                <w:rFonts w:ascii="宋体" w:hAnsi="宋体" w:cs="宋体"/>
                <w:sz w:val="20"/>
                <w:szCs w:val="20"/>
              </w:rPr>
            </w:pPr>
            <w:r>
              <w:rPr>
                <w:rFonts w:hint="eastAsia"/>
                <w:sz w:val="20"/>
                <w:szCs w:val="20"/>
              </w:rPr>
              <w:t>指标</w:t>
            </w:r>
          </w:p>
        </w:tc>
        <w:tc>
          <w:tcPr>
            <w:tcW w:w="1140" w:type="dxa"/>
            <w:tcBorders>
              <w:top w:val="single" w:color="auto" w:sz="4" w:space="0"/>
              <w:left w:val="single" w:color="auto" w:sz="4" w:space="0"/>
              <w:bottom w:val="single" w:color="auto" w:sz="4" w:space="0"/>
              <w:right w:val="single" w:color="auto" w:sz="4" w:space="0"/>
            </w:tcBorders>
            <w:noWrap w:val="0"/>
            <w:vAlign w:val="top"/>
          </w:tcPr>
          <w:p w14:paraId="3EA4E13D">
            <w:pPr>
              <w:rPr>
                <w:rFonts w:ascii="宋体" w:hAnsi="宋体" w:cs="宋体"/>
                <w:sz w:val="20"/>
                <w:szCs w:val="20"/>
              </w:rPr>
            </w:pPr>
            <w:r>
              <w:rPr>
                <w:rFonts w:hint="eastAsia"/>
                <w:sz w:val="20"/>
                <w:szCs w:val="20"/>
              </w:rPr>
              <w:t xml:space="preserve"> 指标1：</w:t>
            </w:r>
            <w:r>
              <w:rPr>
                <w:rFonts w:hint="eastAsia" w:ascii="宋体" w:hAnsi="宋体" w:cs="宋体"/>
                <w:color w:val="000000"/>
                <w:kern w:val="0"/>
                <w:sz w:val="18"/>
                <w:szCs w:val="18"/>
                <w:lang w:bidi="ar"/>
              </w:rPr>
              <w:t>全年办理案件不低于</w:t>
            </w:r>
            <w:r>
              <w:rPr>
                <w:rFonts w:hint="eastAsia" w:ascii="宋体" w:hAnsi="宋体" w:cs="宋体"/>
                <w:color w:val="000000"/>
                <w:kern w:val="0"/>
                <w:sz w:val="18"/>
                <w:szCs w:val="18"/>
                <w:lang w:val="en-US" w:eastAsia="zh-CN" w:bidi="ar"/>
              </w:rPr>
              <w:t>2</w:t>
            </w:r>
            <w:r>
              <w:rPr>
                <w:rFonts w:hint="eastAsia" w:ascii="宋体" w:hAnsi="宋体" w:cs="宋体"/>
                <w:color w:val="000000"/>
                <w:kern w:val="0"/>
                <w:sz w:val="18"/>
                <w:szCs w:val="18"/>
                <w:lang w:bidi="ar"/>
              </w:rPr>
              <w:t>40件目标</w:t>
            </w:r>
          </w:p>
        </w:tc>
        <w:tc>
          <w:tcPr>
            <w:tcW w:w="840" w:type="dxa"/>
            <w:tcBorders>
              <w:top w:val="single" w:color="auto" w:sz="4" w:space="0"/>
              <w:left w:val="single" w:color="auto" w:sz="4" w:space="0"/>
              <w:bottom w:val="single" w:color="auto" w:sz="4" w:space="0"/>
              <w:right w:val="single" w:color="auto" w:sz="4" w:space="0"/>
            </w:tcBorders>
            <w:noWrap w:val="0"/>
            <w:vAlign w:val="top"/>
          </w:tcPr>
          <w:p w14:paraId="1A26D08D">
            <w:pPr>
              <w:rPr>
                <w:rFonts w:ascii="宋体" w:hAnsi="宋体" w:cs="宋体"/>
                <w:sz w:val="20"/>
                <w:szCs w:val="20"/>
              </w:rPr>
            </w:pPr>
            <w:r>
              <w:rPr>
                <w:rFonts w:hint="eastAsia" w:ascii="宋体" w:hAnsi="宋体" w:cs="宋体"/>
                <w:color w:val="000000"/>
                <w:kern w:val="0"/>
                <w:sz w:val="18"/>
                <w:szCs w:val="18"/>
                <w:lang w:bidi="ar"/>
              </w:rPr>
              <w:t>全年办理案件不低于</w:t>
            </w:r>
            <w:r>
              <w:rPr>
                <w:rFonts w:hint="eastAsia" w:ascii="宋体" w:hAnsi="宋体" w:cs="宋体"/>
                <w:color w:val="000000"/>
                <w:kern w:val="0"/>
                <w:sz w:val="18"/>
                <w:szCs w:val="18"/>
                <w:lang w:val="en-US" w:eastAsia="zh-CN" w:bidi="ar"/>
              </w:rPr>
              <w:t>2</w:t>
            </w:r>
            <w:r>
              <w:rPr>
                <w:rFonts w:hint="eastAsia" w:ascii="宋体" w:hAnsi="宋体" w:cs="宋体"/>
                <w:color w:val="000000"/>
                <w:kern w:val="0"/>
                <w:sz w:val="18"/>
                <w:szCs w:val="18"/>
                <w:lang w:bidi="ar"/>
              </w:rPr>
              <w:t>40件目标</w:t>
            </w:r>
          </w:p>
        </w:tc>
        <w:tc>
          <w:tcPr>
            <w:tcW w:w="840" w:type="dxa"/>
            <w:tcBorders>
              <w:top w:val="single" w:color="auto" w:sz="4" w:space="0"/>
              <w:left w:val="single" w:color="auto" w:sz="4" w:space="0"/>
              <w:bottom w:val="single" w:color="auto" w:sz="4" w:space="0"/>
              <w:right w:val="single" w:color="auto" w:sz="4" w:space="0"/>
            </w:tcBorders>
            <w:noWrap w:val="0"/>
            <w:vAlign w:val="top"/>
          </w:tcPr>
          <w:p w14:paraId="7FE19DF0">
            <w:pPr>
              <w:rPr>
                <w:rFonts w:ascii="宋体" w:hAnsi="宋体" w:cs="宋体"/>
                <w:sz w:val="20"/>
                <w:szCs w:val="20"/>
              </w:rPr>
            </w:pPr>
            <w:r>
              <w:rPr>
                <w:rFonts w:hint="eastAsia" w:ascii="宋体" w:hAnsi="宋体" w:cs="宋体"/>
                <w:color w:val="000000"/>
                <w:kern w:val="0"/>
                <w:sz w:val="18"/>
                <w:szCs w:val="18"/>
                <w:lang w:bidi="ar"/>
              </w:rPr>
              <w:t>全年办理案件不低于</w:t>
            </w:r>
            <w:r>
              <w:rPr>
                <w:rFonts w:hint="eastAsia" w:ascii="宋体" w:hAnsi="宋体" w:cs="宋体"/>
                <w:color w:val="000000"/>
                <w:kern w:val="0"/>
                <w:sz w:val="18"/>
                <w:szCs w:val="18"/>
                <w:lang w:val="en-US" w:eastAsia="zh-CN" w:bidi="ar"/>
              </w:rPr>
              <w:t>2</w:t>
            </w:r>
            <w:r>
              <w:rPr>
                <w:rFonts w:hint="eastAsia" w:ascii="宋体" w:hAnsi="宋体" w:cs="宋体"/>
                <w:color w:val="000000"/>
                <w:kern w:val="0"/>
                <w:sz w:val="18"/>
                <w:szCs w:val="18"/>
                <w:lang w:bidi="ar"/>
              </w:rPr>
              <w:t>40件</w:t>
            </w:r>
          </w:p>
        </w:tc>
      </w:tr>
      <w:tr w14:paraId="1C761F67">
        <w:tblPrEx>
          <w:tblCellMar>
            <w:top w:w="0" w:type="dxa"/>
            <w:left w:w="108" w:type="dxa"/>
            <w:bottom w:w="0" w:type="dxa"/>
            <w:right w:w="108" w:type="dxa"/>
          </w:tblCellMar>
        </w:tblPrEx>
        <w:trPr>
          <w:trHeight w:val="1245"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5243B9A1">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noWrap w:val="0"/>
            <w:vAlign w:val="center"/>
          </w:tcPr>
          <w:p w14:paraId="4846AB3E">
            <w:pPr>
              <w:rPr>
                <w:rFonts w:ascii="宋体" w:hAnsi="宋体" w:cs="宋体"/>
                <w:sz w:val="20"/>
                <w:szCs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4F3DE037">
            <w:pPr>
              <w:jc w:val="center"/>
              <w:rPr>
                <w:sz w:val="20"/>
                <w:szCs w:val="20"/>
              </w:rPr>
            </w:pPr>
            <w:r>
              <w:rPr>
                <w:rFonts w:hint="eastAsia"/>
                <w:sz w:val="20"/>
                <w:szCs w:val="20"/>
              </w:rPr>
              <w:t>质量</w:t>
            </w:r>
          </w:p>
          <w:p w14:paraId="00077600">
            <w:pPr>
              <w:jc w:val="center"/>
              <w:rPr>
                <w:rFonts w:ascii="宋体" w:hAnsi="宋体" w:cs="宋体"/>
                <w:sz w:val="20"/>
                <w:szCs w:val="20"/>
              </w:rPr>
            </w:pPr>
            <w:r>
              <w:rPr>
                <w:rFonts w:hint="eastAsia"/>
                <w:sz w:val="20"/>
                <w:szCs w:val="20"/>
              </w:rPr>
              <w:t>指标</w:t>
            </w:r>
          </w:p>
        </w:tc>
        <w:tc>
          <w:tcPr>
            <w:tcW w:w="1523" w:type="dxa"/>
            <w:tcBorders>
              <w:top w:val="single" w:color="auto" w:sz="4" w:space="0"/>
              <w:left w:val="single" w:color="auto" w:sz="4" w:space="0"/>
              <w:bottom w:val="single" w:color="auto" w:sz="4" w:space="0"/>
              <w:right w:val="single" w:color="auto" w:sz="4" w:space="0"/>
            </w:tcBorders>
            <w:noWrap w:val="0"/>
            <w:vAlign w:val="top"/>
          </w:tcPr>
          <w:p w14:paraId="21325858">
            <w:pPr>
              <w:rPr>
                <w:rFonts w:ascii="宋体" w:hAnsi="宋体" w:cs="宋体"/>
                <w:sz w:val="20"/>
                <w:szCs w:val="20"/>
              </w:rPr>
            </w:pPr>
            <w:r>
              <w:rPr>
                <w:rFonts w:hint="eastAsia"/>
                <w:sz w:val="20"/>
                <w:szCs w:val="20"/>
              </w:rPr>
              <w:t>指标1：</w:t>
            </w:r>
            <w:r>
              <w:rPr>
                <w:rFonts w:hint="eastAsia" w:ascii="宋体" w:hAnsi="宋体" w:cs="宋体"/>
                <w:color w:val="000000"/>
                <w:kern w:val="0"/>
                <w:sz w:val="18"/>
                <w:szCs w:val="18"/>
                <w:lang w:bidi="ar"/>
              </w:rPr>
              <w:t>法律援助案件质量要符合中央和省案件质量评查标准</w:t>
            </w:r>
          </w:p>
        </w:tc>
        <w:tc>
          <w:tcPr>
            <w:tcW w:w="1200" w:type="dxa"/>
            <w:tcBorders>
              <w:top w:val="single" w:color="auto" w:sz="4" w:space="0"/>
              <w:left w:val="nil"/>
              <w:bottom w:val="nil"/>
              <w:right w:val="single" w:color="auto" w:sz="4" w:space="0"/>
            </w:tcBorders>
            <w:noWrap w:val="0"/>
            <w:vAlign w:val="top"/>
          </w:tcPr>
          <w:p w14:paraId="2561A03A">
            <w:pPr>
              <w:rPr>
                <w:rFonts w:ascii="宋体" w:hAnsi="宋体" w:cs="宋体"/>
                <w:sz w:val="20"/>
                <w:szCs w:val="20"/>
              </w:rPr>
            </w:pPr>
            <w:r>
              <w:rPr>
                <w:rFonts w:hint="eastAsia" w:ascii="宋体" w:hAnsi="宋体" w:cs="宋体"/>
                <w:color w:val="000000"/>
                <w:kern w:val="0"/>
                <w:sz w:val="18"/>
                <w:szCs w:val="18"/>
                <w:lang w:bidi="ar"/>
              </w:rPr>
              <w:t>法律援助案件质量要符合中央和省案件质量评查标准</w:t>
            </w:r>
          </w:p>
        </w:tc>
        <w:tc>
          <w:tcPr>
            <w:tcW w:w="928" w:type="dxa"/>
            <w:tcBorders>
              <w:top w:val="single" w:color="auto" w:sz="4" w:space="0"/>
              <w:left w:val="nil"/>
              <w:bottom w:val="nil"/>
              <w:right w:val="single" w:color="auto" w:sz="4" w:space="0"/>
            </w:tcBorders>
            <w:noWrap w:val="0"/>
            <w:vAlign w:val="top"/>
          </w:tcPr>
          <w:p w14:paraId="20F1F93A">
            <w:pPr>
              <w:rPr>
                <w:rFonts w:ascii="宋体" w:hAnsi="宋体" w:cs="宋体"/>
                <w:sz w:val="20"/>
                <w:szCs w:val="20"/>
              </w:rPr>
            </w:pPr>
            <w:r>
              <w:rPr>
                <w:rFonts w:hint="eastAsia"/>
                <w:sz w:val="20"/>
                <w:szCs w:val="20"/>
              </w:rPr>
              <w:t>保质保量完成绩效目标</w:t>
            </w:r>
          </w:p>
        </w:tc>
        <w:tc>
          <w:tcPr>
            <w:tcW w:w="677" w:type="dxa"/>
            <w:tcBorders>
              <w:top w:val="nil"/>
              <w:left w:val="single" w:color="auto" w:sz="4" w:space="0"/>
              <w:bottom w:val="single" w:color="000000" w:sz="4" w:space="0"/>
              <w:right w:val="single" w:color="auto" w:sz="4" w:space="0"/>
            </w:tcBorders>
            <w:noWrap w:val="0"/>
            <w:vAlign w:val="center"/>
          </w:tcPr>
          <w:p w14:paraId="3EA1DEC1">
            <w:pPr>
              <w:jc w:val="center"/>
              <w:rPr>
                <w:sz w:val="20"/>
                <w:szCs w:val="20"/>
              </w:rPr>
            </w:pPr>
            <w:r>
              <w:rPr>
                <w:rFonts w:hint="eastAsia"/>
                <w:sz w:val="20"/>
                <w:szCs w:val="20"/>
              </w:rPr>
              <w:t>质量</w:t>
            </w:r>
          </w:p>
          <w:p w14:paraId="05B9FE7D">
            <w:pPr>
              <w:jc w:val="center"/>
              <w:rPr>
                <w:rFonts w:ascii="宋体" w:hAnsi="宋体" w:cs="宋体"/>
                <w:sz w:val="20"/>
                <w:szCs w:val="20"/>
              </w:rPr>
            </w:pPr>
            <w:r>
              <w:rPr>
                <w:rFonts w:hint="eastAsia"/>
                <w:sz w:val="20"/>
                <w:szCs w:val="20"/>
              </w:rPr>
              <w:t>指标</w:t>
            </w:r>
          </w:p>
        </w:tc>
        <w:tc>
          <w:tcPr>
            <w:tcW w:w="1140" w:type="dxa"/>
            <w:tcBorders>
              <w:top w:val="single" w:color="auto" w:sz="4" w:space="0"/>
              <w:left w:val="single" w:color="auto" w:sz="4" w:space="0"/>
              <w:bottom w:val="single" w:color="auto" w:sz="4" w:space="0"/>
              <w:right w:val="single" w:color="auto" w:sz="4" w:space="0"/>
            </w:tcBorders>
            <w:noWrap w:val="0"/>
            <w:vAlign w:val="top"/>
          </w:tcPr>
          <w:p w14:paraId="00E5FE23">
            <w:pPr>
              <w:rPr>
                <w:rFonts w:hint="eastAsia"/>
                <w:sz w:val="20"/>
                <w:szCs w:val="20"/>
              </w:rPr>
            </w:pPr>
            <w:r>
              <w:rPr>
                <w:rFonts w:hint="eastAsia"/>
                <w:sz w:val="20"/>
                <w:szCs w:val="20"/>
              </w:rPr>
              <w:t xml:space="preserve"> 指标1：</w:t>
            </w:r>
          </w:p>
          <w:p w14:paraId="0384B429">
            <w:pPr>
              <w:rPr>
                <w:rFonts w:ascii="宋体" w:hAnsi="宋体" w:cs="宋体"/>
                <w:sz w:val="20"/>
                <w:szCs w:val="20"/>
              </w:rPr>
            </w:pPr>
            <w:r>
              <w:rPr>
                <w:rFonts w:hint="eastAsia" w:ascii="宋体" w:hAnsi="宋体" w:cs="宋体"/>
                <w:color w:val="000000"/>
                <w:kern w:val="0"/>
                <w:sz w:val="18"/>
                <w:szCs w:val="18"/>
                <w:lang w:bidi="ar"/>
              </w:rPr>
              <w:t>法律援助案件质量要符合中央和省案件质量评查标准</w:t>
            </w:r>
          </w:p>
        </w:tc>
        <w:tc>
          <w:tcPr>
            <w:tcW w:w="840" w:type="dxa"/>
            <w:tcBorders>
              <w:top w:val="single" w:color="auto" w:sz="4" w:space="0"/>
              <w:left w:val="nil"/>
              <w:bottom w:val="single" w:color="auto" w:sz="4" w:space="0"/>
              <w:right w:val="single" w:color="auto" w:sz="4" w:space="0"/>
            </w:tcBorders>
            <w:noWrap w:val="0"/>
            <w:vAlign w:val="top"/>
          </w:tcPr>
          <w:p w14:paraId="40088F17">
            <w:pPr>
              <w:rPr>
                <w:rFonts w:ascii="宋体" w:hAnsi="宋体" w:cs="宋体"/>
                <w:sz w:val="20"/>
                <w:szCs w:val="20"/>
              </w:rPr>
            </w:pPr>
            <w:r>
              <w:rPr>
                <w:rFonts w:hint="eastAsia" w:ascii="宋体" w:hAnsi="宋体" w:cs="宋体"/>
                <w:color w:val="000000"/>
                <w:kern w:val="0"/>
                <w:sz w:val="18"/>
                <w:szCs w:val="18"/>
                <w:lang w:bidi="ar"/>
              </w:rPr>
              <w:t>法律援助案件质量要符合中央和省案件质量评查标准</w:t>
            </w:r>
          </w:p>
        </w:tc>
        <w:tc>
          <w:tcPr>
            <w:tcW w:w="840" w:type="dxa"/>
            <w:tcBorders>
              <w:top w:val="single" w:color="auto" w:sz="4" w:space="0"/>
              <w:left w:val="nil"/>
              <w:bottom w:val="single" w:color="auto" w:sz="4" w:space="0"/>
              <w:right w:val="single" w:color="auto" w:sz="4" w:space="0"/>
            </w:tcBorders>
            <w:noWrap w:val="0"/>
            <w:vAlign w:val="top"/>
          </w:tcPr>
          <w:p w14:paraId="536BEF93">
            <w:pPr>
              <w:rPr>
                <w:rFonts w:ascii="宋体" w:hAnsi="宋体" w:cs="宋体"/>
                <w:sz w:val="20"/>
                <w:szCs w:val="20"/>
              </w:rPr>
            </w:pPr>
            <w:r>
              <w:rPr>
                <w:rFonts w:hint="eastAsia"/>
                <w:sz w:val="20"/>
                <w:szCs w:val="20"/>
              </w:rPr>
              <w:t>保质保量完成绩效目标</w:t>
            </w:r>
          </w:p>
        </w:tc>
      </w:tr>
      <w:tr w14:paraId="392E8F68">
        <w:tblPrEx>
          <w:tblCellMar>
            <w:top w:w="0" w:type="dxa"/>
            <w:left w:w="108" w:type="dxa"/>
            <w:bottom w:w="0" w:type="dxa"/>
            <w:right w:w="108" w:type="dxa"/>
          </w:tblCellMar>
        </w:tblPrEx>
        <w:trPr>
          <w:trHeight w:val="2121"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5BCC6AEB">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noWrap w:val="0"/>
            <w:vAlign w:val="center"/>
          </w:tcPr>
          <w:p w14:paraId="05BADB3A">
            <w:pPr>
              <w:rPr>
                <w:rFonts w:ascii="宋体" w:hAnsi="宋体" w:cs="宋体"/>
                <w:sz w:val="20"/>
                <w:szCs w:val="20"/>
              </w:rPr>
            </w:pPr>
          </w:p>
        </w:tc>
        <w:tc>
          <w:tcPr>
            <w:tcW w:w="940" w:type="dxa"/>
            <w:tcBorders>
              <w:top w:val="single" w:color="auto" w:sz="4" w:space="0"/>
              <w:left w:val="single" w:color="auto" w:sz="4" w:space="0"/>
              <w:bottom w:val="nil"/>
              <w:right w:val="single" w:color="auto" w:sz="4" w:space="0"/>
            </w:tcBorders>
            <w:noWrap w:val="0"/>
            <w:vAlign w:val="center"/>
          </w:tcPr>
          <w:p w14:paraId="635E695F">
            <w:pPr>
              <w:jc w:val="center"/>
              <w:rPr>
                <w:sz w:val="20"/>
                <w:szCs w:val="20"/>
              </w:rPr>
            </w:pPr>
            <w:r>
              <w:rPr>
                <w:rFonts w:hint="eastAsia"/>
                <w:sz w:val="20"/>
                <w:szCs w:val="20"/>
              </w:rPr>
              <w:t>时效</w:t>
            </w:r>
          </w:p>
          <w:p w14:paraId="76976588">
            <w:pPr>
              <w:jc w:val="center"/>
              <w:rPr>
                <w:rFonts w:ascii="宋体" w:hAnsi="宋体" w:cs="宋体"/>
                <w:sz w:val="20"/>
                <w:szCs w:val="20"/>
              </w:rPr>
            </w:pPr>
            <w:r>
              <w:rPr>
                <w:rFonts w:hint="eastAsia"/>
                <w:sz w:val="20"/>
                <w:szCs w:val="20"/>
              </w:rPr>
              <w:t>指标</w:t>
            </w:r>
          </w:p>
        </w:tc>
        <w:tc>
          <w:tcPr>
            <w:tcW w:w="1523" w:type="dxa"/>
            <w:tcBorders>
              <w:top w:val="single" w:color="auto" w:sz="4" w:space="0"/>
              <w:left w:val="nil"/>
              <w:bottom w:val="nil"/>
              <w:right w:val="single" w:color="auto" w:sz="4" w:space="0"/>
            </w:tcBorders>
            <w:noWrap w:val="0"/>
            <w:vAlign w:val="center"/>
          </w:tcPr>
          <w:p w14:paraId="7E0D17AC">
            <w:pPr>
              <w:rPr>
                <w:rFonts w:ascii="宋体" w:hAnsi="宋体" w:cs="宋体"/>
                <w:sz w:val="20"/>
                <w:szCs w:val="20"/>
              </w:rPr>
            </w:pPr>
            <w:r>
              <w:rPr>
                <w:rFonts w:hint="eastAsia"/>
                <w:sz w:val="20"/>
                <w:szCs w:val="20"/>
              </w:rPr>
              <w:t>指标1：是否资金及时到位</w:t>
            </w:r>
          </w:p>
        </w:tc>
        <w:tc>
          <w:tcPr>
            <w:tcW w:w="1200" w:type="dxa"/>
            <w:tcBorders>
              <w:top w:val="single" w:color="auto" w:sz="4" w:space="0"/>
              <w:left w:val="nil"/>
              <w:bottom w:val="nil"/>
              <w:right w:val="single" w:color="auto" w:sz="4" w:space="0"/>
            </w:tcBorders>
            <w:noWrap w:val="0"/>
            <w:vAlign w:val="center"/>
          </w:tcPr>
          <w:p w14:paraId="63400669">
            <w:pPr>
              <w:rPr>
                <w:rFonts w:ascii="宋体" w:hAnsi="宋体" w:cs="宋体"/>
                <w:sz w:val="20"/>
                <w:szCs w:val="20"/>
              </w:rPr>
            </w:pPr>
            <w:r>
              <w:rPr>
                <w:rFonts w:hint="eastAsia"/>
                <w:sz w:val="20"/>
                <w:szCs w:val="20"/>
              </w:rPr>
              <w:t>按照年度预算安排，资金拨付到位</w:t>
            </w:r>
          </w:p>
        </w:tc>
        <w:tc>
          <w:tcPr>
            <w:tcW w:w="928" w:type="dxa"/>
            <w:tcBorders>
              <w:top w:val="single" w:color="auto" w:sz="4" w:space="0"/>
              <w:left w:val="nil"/>
              <w:bottom w:val="nil"/>
              <w:right w:val="single" w:color="auto" w:sz="4" w:space="0"/>
            </w:tcBorders>
            <w:noWrap w:val="0"/>
            <w:vAlign w:val="center"/>
          </w:tcPr>
          <w:p w14:paraId="0888ADD4">
            <w:pPr>
              <w:rPr>
                <w:rFonts w:ascii="宋体" w:hAnsi="宋体" w:cs="宋体"/>
                <w:sz w:val="20"/>
                <w:szCs w:val="20"/>
              </w:rPr>
            </w:pPr>
            <w:r>
              <w:rPr>
                <w:rFonts w:hint="eastAsia"/>
                <w:sz w:val="20"/>
                <w:szCs w:val="20"/>
              </w:rPr>
              <w:t>按照年度预算安排，资金拨付到位　</w:t>
            </w:r>
          </w:p>
        </w:tc>
        <w:tc>
          <w:tcPr>
            <w:tcW w:w="677" w:type="dxa"/>
            <w:tcBorders>
              <w:top w:val="nil"/>
              <w:left w:val="single" w:color="auto" w:sz="4" w:space="0"/>
              <w:bottom w:val="single" w:color="000000" w:sz="4" w:space="0"/>
              <w:right w:val="single" w:color="auto" w:sz="4" w:space="0"/>
            </w:tcBorders>
            <w:noWrap w:val="0"/>
            <w:vAlign w:val="center"/>
          </w:tcPr>
          <w:p w14:paraId="2A74B3F8">
            <w:pPr>
              <w:jc w:val="center"/>
              <w:rPr>
                <w:sz w:val="20"/>
                <w:szCs w:val="20"/>
              </w:rPr>
            </w:pPr>
            <w:r>
              <w:rPr>
                <w:rFonts w:hint="eastAsia"/>
                <w:sz w:val="20"/>
                <w:szCs w:val="20"/>
              </w:rPr>
              <w:t>时效</w:t>
            </w:r>
          </w:p>
          <w:p w14:paraId="6089E6B9">
            <w:pPr>
              <w:jc w:val="center"/>
              <w:rPr>
                <w:rFonts w:ascii="宋体" w:hAnsi="宋体" w:cs="宋体"/>
                <w:sz w:val="20"/>
                <w:szCs w:val="20"/>
              </w:rPr>
            </w:pPr>
            <w:r>
              <w:rPr>
                <w:rFonts w:hint="eastAsia"/>
                <w:sz w:val="20"/>
                <w:szCs w:val="20"/>
              </w:rPr>
              <w:t>指标</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48962C1">
            <w:pPr>
              <w:rPr>
                <w:rFonts w:hint="eastAsia"/>
                <w:sz w:val="20"/>
                <w:szCs w:val="20"/>
              </w:rPr>
            </w:pPr>
            <w:r>
              <w:rPr>
                <w:rFonts w:hint="eastAsia"/>
                <w:sz w:val="20"/>
                <w:szCs w:val="20"/>
              </w:rPr>
              <w:t xml:space="preserve"> 指标1：是否资金及时到位</w:t>
            </w:r>
          </w:p>
          <w:p w14:paraId="2DCC27AA">
            <w:pPr>
              <w:rPr>
                <w:rFonts w:ascii="宋体" w:hAnsi="宋体" w:cs="宋体"/>
                <w:sz w:val="20"/>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25A68A06">
            <w:pPr>
              <w:rPr>
                <w:rFonts w:ascii="宋体" w:hAnsi="宋体" w:cs="宋体"/>
                <w:sz w:val="20"/>
                <w:szCs w:val="20"/>
              </w:rPr>
            </w:pPr>
            <w:r>
              <w:rPr>
                <w:rFonts w:hint="eastAsia"/>
                <w:sz w:val="20"/>
                <w:szCs w:val="20"/>
              </w:rPr>
              <w:t>　按照年度预算安排，资金拨付到位</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62EDD442">
            <w:pPr>
              <w:rPr>
                <w:rFonts w:ascii="宋体" w:hAnsi="宋体" w:cs="宋体"/>
                <w:sz w:val="20"/>
                <w:szCs w:val="20"/>
              </w:rPr>
            </w:pPr>
            <w:r>
              <w:rPr>
                <w:rFonts w:hint="eastAsia"/>
                <w:sz w:val="20"/>
                <w:szCs w:val="20"/>
              </w:rPr>
              <w:t>　按照年度预算安排，资金拨付到位</w:t>
            </w:r>
          </w:p>
        </w:tc>
      </w:tr>
      <w:tr w14:paraId="7AECE2E4">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auto" w:sz="4" w:space="0"/>
              <w:right w:val="single" w:color="auto" w:sz="4" w:space="0"/>
            </w:tcBorders>
            <w:noWrap w:val="0"/>
            <w:vAlign w:val="center"/>
          </w:tcPr>
          <w:p w14:paraId="6F4BA035">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noWrap w:val="0"/>
            <w:vAlign w:val="center"/>
          </w:tcPr>
          <w:p w14:paraId="36EE6E2A">
            <w:pPr>
              <w:rPr>
                <w:rFonts w:ascii="宋体" w:hAnsi="宋体" w:cs="宋体"/>
                <w:sz w:val="20"/>
                <w:szCs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4BB83989">
            <w:pPr>
              <w:jc w:val="center"/>
              <w:rPr>
                <w:sz w:val="20"/>
                <w:szCs w:val="20"/>
              </w:rPr>
            </w:pPr>
            <w:r>
              <w:rPr>
                <w:rFonts w:hint="eastAsia"/>
                <w:sz w:val="20"/>
                <w:szCs w:val="20"/>
              </w:rPr>
              <w:t>成本</w:t>
            </w:r>
          </w:p>
          <w:p w14:paraId="1186AE8E">
            <w:pPr>
              <w:jc w:val="center"/>
              <w:rPr>
                <w:rFonts w:ascii="宋体" w:hAnsi="宋体" w:cs="宋体"/>
                <w:sz w:val="20"/>
                <w:szCs w:val="20"/>
              </w:rPr>
            </w:pPr>
            <w:r>
              <w:rPr>
                <w:rFonts w:hint="eastAsia"/>
                <w:sz w:val="20"/>
                <w:szCs w:val="20"/>
              </w:rPr>
              <w:t>指标</w:t>
            </w:r>
          </w:p>
        </w:tc>
        <w:tc>
          <w:tcPr>
            <w:tcW w:w="1523" w:type="dxa"/>
            <w:tcBorders>
              <w:top w:val="single" w:color="auto" w:sz="4" w:space="0"/>
              <w:left w:val="nil"/>
              <w:bottom w:val="single" w:color="auto" w:sz="4" w:space="0"/>
              <w:right w:val="single" w:color="auto" w:sz="4" w:space="0"/>
            </w:tcBorders>
            <w:noWrap w:val="0"/>
            <w:vAlign w:val="center"/>
          </w:tcPr>
          <w:p w14:paraId="495E89A0">
            <w:pPr>
              <w:rPr>
                <w:rFonts w:ascii="宋体" w:hAnsi="宋体" w:cs="宋体"/>
                <w:sz w:val="20"/>
                <w:szCs w:val="20"/>
              </w:rPr>
            </w:pPr>
            <w:r>
              <w:rPr>
                <w:rFonts w:hint="eastAsia"/>
                <w:sz w:val="20"/>
                <w:szCs w:val="20"/>
              </w:rPr>
              <w:t xml:space="preserve"> 指标1：是否在预定成本控制范围</w:t>
            </w:r>
          </w:p>
        </w:tc>
        <w:tc>
          <w:tcPr>
            <w:tcW w:w="1200" w:type="dxa"/>
            <w:tcBorders>
              <w:top w:val="single" w:color="auto" w:sz="4" w:space="0"/>
              <w:left w:val="nil"/>
              <w:bottom w:val="single" w:color="auto" w:sz="4" w:space="0"/>
              <w:right w:val="single" w:color="auto" w:sz="4" w:space="0"/>
            </w:tcBorders>
            <w:noWrap w:val="0"/>
            <w:vAlign w:val="center"/>
          </w:tcPr>
          <w:p w14:paraId="3F4F9352">
            <w:pPr>
              <w:rPr>
                <w:rFonts w:ascii="宋体" w:hAnsi="宋体" w:cs="宋体"/>
                <w:sz w:val="20"/>
                <w:szCs w:val="20"/>
              </w:rPr>
            </w:pPr>
            <w:r>
              <w:rPr>
                <w:rFonts w:hint="eastAsia"/>
                <w:sz w:val="20"/>
                <w:szCs w:val="20"/>
              </w:rPr>
              <w:t>严格控制成本，不超年度预算</w:t>
            </w:r>
          </w:p>
        </w:tc>
        <w:tc>
          <w:tcPr>
            <w:tcW w:w="928" w:type="dxa"/>
            <w:tcBorders>
              <w:top w:val="single" w:color="auto" w:sz="4" w:space="0"/>
              <w:left w:val="nil"/>
              <w:bottom w:val="single" w:color="auto" w:sz="4" w:space="0"/>
              <w:right w:val="single" w:color="auto" w:sz="4" w:space="0"/>
            </w:tcBorders>
            <w:noWrap w:val="0"/>
            <w:vAlign w:val="center"/>
          </w:tcPr>
          <w:p w14:paraId="3DB25F80">
            <w:pPr>
              <w:rPr>
                <w:rFonts w:ascii="宋体" w:hAnsi="宋体" w:cs="宋体"/>
                <w:sz w:val="20"/>
                <w:szCs w:val="20"/>
              </w:rPr>
            </w:pPr>
            <w:r>
              <w:rPr>
                <w:rFonts w:hint="eastAsia"/>
                <w:sz w:val="20"/>
                <w:szCs w:val="20"/>
              </w:rPr>
              <w:t>严格控制成本，不超年度预算</w:t>
            </w:r>
          </w:p>
        </w:tc>
        <w:tc>
          <w:tcPr>
            <w:tcW w:w="677" w:type="dxa"/>
            <w:tcBorders>
              <w:top w:val="nil"/>
              <w:left w:val="single" w:color="auto" w:sz="4" w:space="0"/>
              <w:bottom w:val="single" w:color="auto" w:sz="4" w:space="0"/>
              <w:right w:val="single" w:color="auto" w:sz="4" w:space="0"/>
            </w:tcBorders>
            <w:noWrap w:val="0"/>
            <w:vAlign w:val="center"/>
          </w:tcPr>
          <w:p w14:paraId="71969670">
            <w:pPr>
              <w:jc w:val="center"/>
              <w:rPr>
                <w:sz w:val="20"/>
                <w:szCs w:val="20"/>
              </w:rPr>
            </w:pPr>
            <w:r>
              <w:rPr>
                <w:rFonts w:hint="eastAsia"/>
                <w:sz w:val="20"/>
                <w:szCs w:val="20"/>
              </w:rPr>
              <w:t>成本</w:t>
            </w:r>
          </w:p>
          <w:p w14:paraId="2F67B0A2">
            <w:pPr>
              <w:jc w:val="center"/>
              <w:rPr>
                <w:rFonts w:ascii="宋体" w:hAnsi="宋体" w:cs="宋体"/>
                <w:sz w:val="20"/>
                <w:szCs w:val="20"/>
              </w:rPr>
            </w:pPr>
            <w:r>
              <w:rPr>
                <w:rFonts w:hint="eastAsia"/>
                <w:sz w:val="20"/>
                <w:szCs w:val="20"/>
              </w:rPr>
              <w:t>指标</w:t>
            </w:r>
          </w:p>
        </w:tc>
        <w:tc>
          <w:tcPr>
            <w:tcW w:w="1140" w:type="dxa"/>
            <w:tcBorders>
              <w:top w:val="single" w:color="auto" w:sz="4" w:space="0"/>
              <w:left w:val="nil"/>
              <w:bottom w:val="single" w:color="auto" w:sz="4" w:space="0"/>
              <w:right w:val="single" w:color="auto" w:sz="4" w:space="0"/>
            </w:tcBorders>
            <w:noWrap w:val="0"/>
            <w:vAlign w:val="center"/>
          </w:tcPr>
          <w:p w14:paraId="5708D284">
            <w:pPr>
              <w:rPr>
                <w:rFonts w:ascii="宋体" w:hAnsi="宋体" w:cs="宋体"/>
                <w:sz w:val="20"/>
                <w:szCs w:val="20"/>
              </w:rPr>
            </w:pPr>
            <w:r>
              <w:rPr>
                <w:rFonts w:hint="eastAsia"/>
                <w:sz w:val="20"/>
                <w:szCs w:val="20"/>
              </w:rPr>
              <w:t xml:space="preserve"> 指标1：是否在预定成本控制范围</w:t>
            </w:r>
          </w:p>
        </w:tc>
        <w:tc>
          <w:tcPr>
            <w:tcW w:w="840" w:type="dxa"/>
            <w:tcBorders>
              <w:top w:val="single" w:color="auto" w:sz="4" w:space="0"/>
              <w:left w:val="nil"/>
              <w:bottom w:val="single" w:color="auto" w:sz="4" w:space="0"/>
              <w:right w:val="single" w:color="auto" w:sz="4" w:space="0"/>
            </w:tcBorders>
            <w:noWrap w:val="0"/>
            <w:vAlign w:val="center"/>
          </w:tcPr>
          <w:p w14:paraId="3004638F">
            <w:pPr>
              <w:rPr>
                <w:rFonts w:ascii="宋体" w:hAnsi="宋体" w:cs="宋体"/>
                <w:sz w:val="20"/>
                <w:szCs w:val="20"/>
              </w:rPr>
            </w:pPr>
            <w:r>
              <w:rPr>
                <w:rFonts w:hint="eastAsia"/>
                <w:sz w:val="20"/>
                <w:szCs w:val="20"/>
              </w:rPr>
              <w:t>严格控制成本，不超年度预算</w:t>
            </w:r>
          </w:p>
        </w:tc>
        <w:tc>
          <w:tcPr>
            <w:tcW w:w="840" w:type="dxa"/>
            <w:tcBorders>
              <w:top w:val="single" w:color="auto" w:sz="4" w:space="0"/>
              <w:left w:val="nil"/>
              <w:bottom w:val="single" w:color="auto" w:sz="4" w:space="0"/>
              <w:right w:val="single" w:color="auto" w:sz="4" w:space="0"/>
            </w:tcBorders>
            <w:noWrap w:val="0"/>
            <w:vAlign w:val="center"/>
          </w:tcPr>
          <w:p w14:paraId="2054E429">
            <w:pPr>
              <w:rPr>
                <w:rFonts w:ascii="宋体" w:hAnsi="宋体" w:cs="宋体"/>
                <w:sz w:val="20"/>
                <w:szCs w:val="20"/>
              </w:rPr>
            </w:pPr>
            <w:r>
              <w:rPr>
                <w:rFonts w:hint="eastAsia"/>
                <w:sz w:val="20"/>
                <w:szCs w:val="20"/>
              </w:rPr>
              <w:t>严格控制成本，不超年度预算</w:t>
            </w:r>
          </w:p>
        </w:tc>
      </w:tr>
      <w:tr w14:paraId="614E1E2A">
        <w:tblPrEx>
          <w:tblCellMar>
            <w:top w:w="0" w:type="dxa"/>
            <w:left w:w="108" w:type="dxa"/>
            <w:bottom w:w="0" w:type="dxa"/>
            <w:right w:w="108" w:type="dxa"/>
          </w:tblCellMar>
        </w:tblPrEx>
        <w:trPr>
          <w:trHeight w:val="2181" w:hRule="atLeast"/>
        </w:trPr>
        <w:tc>
          <w:tcPr>
            <w:tcW w:w="416" w:type="dxa"/>
            <w:vMerge w:val="continue"/>
            <w:tcBorders>
              <w:top w:val="single" w:color="auto" w:sz="4" w:space="0"/>
              <w:left w:val="single" w:color="auto" w:sz="4" w:space="0"/>
              <w:bottom w:val="single" w:color="auto" w:sz="4" w:space="0"/>
              <w:right w:val="single" w:color="auto" w:sz="4" w:space="0"/>
            </w:tcBorders>
            <w:noWrap w:val="0"/>
            <w:vAlign w:val="center"/>
          </w:tcPr>
          <w:p w14:paraId="49FE3C97">
            <w:pPr>
              <w:rPr>
                <w:rFonts w:ascii="宋体" w:hAnsi="宋体" w:cs="宋体"/>
                <w:sz w:val="20"/>
                <w:szCs w:val="20"/>
              </w:rPr>
            </w:pPr>
          </w:p>
        </w:tc>
        <w:tc>
          <w:tcPr>
            <w:tcW w:w="820" w:type="dxa"/>
            <w:vMerge w:val="restart"/>
            <w:tcBorders>
              <w:top w:val="single" w:color="auto" w:sz="4" w:space="0"/>
              <w:left w:val="single" w:color="auto" w:sz="4" w:space="0"/>
              <w:bottom w:val="single" w:color="auto" w:sz="4" w:space="0"/>
              <w:right w:val="single" w:color="auto" w:sz="4" w:space="0"/>
            </w:tcBorders>
            <w:noWrap w:val="0"/>
            <w:vAlign w:val="center"/>
          </w:tcPr>
          <w:p w14:paraId="37CACBC8">
            <w:pPr>
              <w:jc w:val="center"/>
              <w:rPr>
                <w:rFonts w:hint="eastAsia" w:eastAsia="宋体"/>
                <w:sz w:val="20"/>
                <w:szCs w:val="20"/>
                <w:lang w:eastAsia="zh-CN"/>
              </w:rPr>
            </w:pPr>
            <w:r>
              <w:rPr>
                <w:rFonts w:hint="eastAsia"/>
                <w:sz w:val="20"/>
                <w:szCs w:val="20"/>
              </w:rPr>
              <w:t>效</w:t>
            </w:r>
          </w:p>
          <w:p w14:paraId="233E7C5E">
            <w:pPr>
              <w:jc w:val="center"/>
              <w:rPr>
                <w:rFonts w:hint="eastAsia" w:eastAsia="宋体"/>
                <w:sz w:val="20"/>
                <w:szCs w:val="20"/>
                <w:lang w:eastAsia="zh-CN"/>
              </w:rPr>
            </w:pPr>
            <w:r>
              <w:rPr>
                <w:rFonts w:hint="eastAsia"/>
                <w:sz w:val="20"/>
                <w:szCs w:val="20"/>
              </w:rPr>
              <w:t>益</w:t>
            </w:r>
          </w:p>
          <w:p w14:paraId="020904B9">
            <w:pPr>
              <w:jc w:val="center"/>
              <w:rPr>
                <w:rFonts w:hint="eastAsia" w:eastAsia="宋体"/>
                <w:sz w:val="20"/>
                <w:szCs w:val="20"/>
                <w:lang w:eastAsia="zh-CN"/>
              </w:rPr>
            </w:pPr>
            <w:r>
              <w:rPr>
                <w:rFonts w:hint="eastAsia"/>
                <w:sz w:val="20"/>
                <w:szCs w:val="20"/>
              </w:rPr>
              <w:t>指</w:t>
            </w:r>
          </w:p>
          <w:p w14:paraId="32045401">
            <w:pPr>
              <w:jc w:val="center"/>
              <w:rPr>
                <w:rFonts w:ascii="宋体" w:hAnsi="宋体" w:cs="宋体"/>
                <w:sz w:val="20"/>
                <w:szCs w:val="20"/>
              </w:rPr>
            </w:pPr>
            <w:r>
              <w:rPr>
                <w:rFonts w:hint="eastAsia"/>
                <w:sz w:val="20"/>
                <w:szCs w:val="20"/>
              </w:rPr>
              <w:t>标</w:t>
            </w:r>
          </w:p>
        </w:tc>
        <w:tc>
          <w:tcPr>
            <w:tcW w:w="940" w:type="dxa"/>
            <w:tcBorders>
              <w:top w:val="single" w:color="auto" w:sz="4" w:space="0"/>
              <w:left w:val="single" w:color="auto" w:sz="4" w:space="0"/>
              <w:bottom w:val="single" w:color="auto" w:sz="4" w:space="0"/>
              <w:right w:val="single" w:color="auto" w:sz="4" w:space="0"/>
            </w:tcBorders>
            <w:noWrap w:val="0"/>
            <w:vAlign w:val="center"/>
          </w:tcPr>
          <w:p w14:paraId="07B016C2">
            <w:pPr>
              <w:jc w:val="center"/>
              <w:rPr>
                <w:rFonts w:ascii="宋体" w:hAnsi="宋体" w:cs="宋体"/>
                <w:sz w:val="20"/>
                <w:szCs w:val="20"/>
              </w:rPr>
            </w:pPr>
            <w:r>
              <w:rPr>
                <w:rFonts w:hint="eastAsia"/>
                <w:sz w:val="20"/>
                <w:szCs w:val="20"/>
              </w:rPr>
              <w:t>经济效益指标</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3B4943E9">
            <w:pPr>
              <w:rPr>
                <w:rFonts w:ascii="宋体" w:hAnsi="宋体" w:cs="宋体"/>
                <w:sz w:val="20"/>
                <w:szCs w:val="20"/>
              </w:rPr>
            </w:pPr>
            <w:r>
              <w:rPr>
                <w:rFonts w:hint="eastAsia" w:ascii="宋体" w:hAnsi="宋体" w:cs="宋体"/>
                <w:color w:val="000000"/>
                <w:kern w:val="0"/>
                <w:sz w:val="18"/>
                <w:szCs w:val="18"/>
                <w:lang w:bidi="ar"/>
              </w:rPr>
              <w:t>项目实施不产生经济价值</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AAEA6EE">
            <w:pPr>
              <w:rPr>
                <w:rFonts w:hint="eastAsia"/>
                <w:sz w:val="20"/>
                <w:szCs w:val="20"/>
              </w:rPr>
            </w:pPr>
            <w:r>
              <w:rPr>
                <w:rFonts w:hint="eastAsia"/>
                <w:sz w:val="20"/>
                <w:szCs w:val="20"/>
              </w:rPr>
              <w:t>提供全方位的法律服务，保证了项目的顺利进行</w:t>
            </w:r>
          </w:p>
          <w:p w14:paraId="714450C5">
            <w:pPr>
              <w:rPr>
                <w:rFonts w:ascii="宋体" w:hAnsi="宋体" w:cs="宋体"/>
                <w:sz w:val="20"/>
                <w:szCs w:val="20"/>
              </w:rPr>
            </w:pPr>
            <w:r>
              <w:rPr>
                <w:rFonts w:hint="eastAsia"/>
                <w:sz w:val="20"/>
                <w:szCs w:val="20"/>
              </w:rPr>
              <w:t>　</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715ADDE0">
            <w:pPr>
              <w:rPr>
                <w:rFonts w:hint="eastAsia"/>
                <w:sz w:val="20"/>
                <w:szCs w:val="20"/>
              </w:rPr>
            </w:pPr>
            <w:r>
              <w:rPr>
                <w:rFonts w:hint="eastAsia"/>
                <w:sz w:val="20"/>
                <w:szCs w:val="20"/>
              </w:rPr>
              <w:t>提供全方位的法律服务，保证了项目的顺利进行</w:t>
            </w:r>
          </w:p>
          <w:p w14:paraId="7AA3C2DD">
            <w:pPr>
              <w:rPr>
                <w:rFonts w:ascii="宋体" w:hAnsi="宋体" w:cs="宋体"/>
                <w:sz w:val="20"/>
                <w:szCs w:val="20"/>
              </w:rPr>
            </w:pPr>
            <w:r>
              <w:rPr>
                <w:rFonts w:hint="eastAsia"/>
                <w:sz w:val="20"/>
                <w:szCs w:val="20"/>
              </w:rPr>
              <w:t>　</w:t>
            </w:r>
          </w:p>
        </w:tc>
        <w:tc>
          <w:tcPr>
            <w:tcW w:w="677" w:type="dxa"/>
            <w:tcBorders>
              <w:top w:val="single" w:color="auto" w:sz="4" w:space="0"/>
              <w:left w:val="single" w:color="auto" w:sz="4" w:space="0"/>
              <w:bottom w:val="single" w:color="auto" w:sz="4" w:space="0"/>
              <w:right w:val="single" w:color="auto" w:sz="4" w:space="0"/>
            </w:tcBorders>
            <w:noWrap w:val="0"/>
            <w:vAlign w:val="center"/>
          </w:tcPr>
          <w:p w14:paraId="758BEF92">
            <w:pPr>
              <w:jc w:val="center"/>
              <w:rPr>
                <w:sz w:val="20"/>
                <w:szCs w:val="20"/>
              </w:rPr>
            </w:pPr>
            <w:r>
              <w:rPr>
                <w:rFonts w:hint="eastAsia"/>
                <w:sz w:val="20"/>
                <w:szCs w:val="20"/>
              </w:rPr>
              <w:t>经济效</w:t>
            </w:r>
          </w:p>
          <w:p w14:paraId="4988F4DD">
            <w:pPr>
              <w:jc w:val="center"/>
              <w:rPr>
                <w:rFonts w:ascii="宋体" w:hAnsi="宋体" w:cs="宋体"/>
                <w:sz w:val="20"/>
                <w:szCs w:val="20"/>
              </w:rPr>
            </w:pPr>
            <w:r>
              <w:rPr>
                <w:rFonts w:hint="eastAsia"/>
                <w:sz w:val="20"/>
                <w:szCs w:val="20"/>
              </w:rPr>
              <w:t>益指标</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48A080C">
            <w:pPr>
              <w:rPr>
                <w:rFonts w:ascii="宋体" w:hAnsi="宋体" w:cs="宋体"/>
                <w:sz w:val="20"/>
                <w:szCs w:val="20"/>
              </w:rPr>
            </w:pPr>
            <w:r>
              <w:rPr>
                <w:rFonts w:hint="eastAsia" w:ascii="宋体" w:hAnsi="宋体" w:cs="宋体"/>
                <w:color w:val="000000"/>
                <w:kern w:val="0"/>
                <w:sz w:val="18"/>
                <w:szCs w:val="18"/>
                <w:lang w:bidi="ar"/>
              </w:rPr>
              <w:t>项目实施不产生经济价值</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05B7B589">
            <w:pPr>
              <w:rPr>
                <w:rFonts w:ascii="宋体" w:hAnsi="宋体" w:cs="宋体"/>
                <w:sz w:val="20"/>
                <w:szCs w:val="20"/>
              </w:rPr>
            </w:pPr>
            <w:r>
              <w:rPr>
                <w:rFonts w:hint="eastAsia"/>
                <w:sz w:val="20"/>
                <w:szCs w:val="20"/>
              </w:rPr>
              <w:t>提供全方位的法律服务，保证了项目的顺利进行　</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235D0C24">
            <w:pPr>
              <w:rPr>
                <w:rFonts w:ascii="宋体" w:hAnsi="宋体" w:cs="宋体"/>
                <w:sz w:val="20"/>
                <w:szCs w:val="20"/>
              </w:rPr>
            </w:pPr>
            <w:r>
              <w:rPr>
                <w:rFonts w:hint="eastAsia"/>
                <w:sz w:val="20"/>
                <w:szCs w:val="20"/>
              </w:rPr>
              <w:t>提供全方位的法律服务，保证了项目的顺利进行</w:t>
            </w:r>
          </w:p>
        </w:tc>
      </w:tr>
      <w:tr w14:paraId="31108969">
        <w:tblPrEx>
          <w:tblCellMar>
            <w:top w:w="0" w:type="dxa"/>
            <w:left w:w="108" w:type="dxa"/>
            <w:bottom w:w="0" w:type="dxa"/>
            <w:right w:w="108" w:type="dxa"/>
          </w:tblCellMar>
        </w:tblPrEx>
        <w:trPr>
          <w:trHeight w:val="315" w:hRule="atLeast"/>
        </w:trPr>
        <w:tc>
          <w:tcPr>
            <w:tcW w:w="416" w:type="dxa"/>
            <w:vMerge w:val="continue"/>
            <w:tcBorders>
              <w:top w:val="single" w:color="auto" w:sz="4" w:space="0"/>
              <w:left w:val="single" w:color="auto" w:sz="4" w:space="0"/>
              <w:bottom w:val="single" w:color="000000" w:sz="4" w:space="0"/>
              <w:right w:val="single" w:color="auto" w:sz="4" w:space="0"/>
            </w:tcBorders>
            <w:noWrap w:val="0"/>
            <w:vAlign w:val="center"/>
          </w:tcPr>
          <w:p w14:paraId="0AB228DA">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noWrap w:val="0"/>
            <w:vAlign w:val="center"/>
          </w:tcPr>
          <w:p w14:paraId="5DDE6337">
            <w:pPr>
              <w:rPr>
                <w:rFonts w:ascii="宋体" w:hAnsi="宋体" w:cs="宋体"/>
                <w:sz w:val="20"/>
                <w:szCs w:val="20"/>
              </w:rPr>
            </w:pPr>
          </w:p>
        </w:tc>
        <w:tc>
          <w:tcPr>
            <w:tcW w:w="940" w:type="dxa"/>
            <w:vMerge w:val="restart"/>
            <w:tcBorders>
              <w:top w:val="single" w:color="auto" w:sz="4" w:space="0"/>
              <w:left w:val="single" w:color="auto" w:sz="4" w:space="0"/>
              <w:bottom w:val="single" w:color="000000" w:sz="4" w:space="0"/>
              <w:right w:val="single" w:color="auto" w:sz="4" w:space="0"/>
            </w:tcBorders>
            <w:noWrap w:val="0"/>
            <w:vAlign w:val="center"/>
          </w:tcPr>
          <w:p w14:paraId="697759D9">
            <w:pPr>
              <w:jc w:val="center"/>
              <w:rPr>
                <w:rFonts w:ascii="宋体" w:hAnsi="宋体" w:cs="宋体"/>
                <w:sz w:val="20"/>
                <w:szCs w:val="20"/>
              </w:rPr>
            </w:pPr>
            <w:r>
              <w:rPr>
                <w:rFonts w:hint="eastAsia"/>
                <w:sz w:val="20"/>
                <w:szCs w:val="20"/>
              </w:rPr>
              <w:t>社会效益指标</w:t>
            </w:r>
          </w:p>
        </w:tc>
        <w:tc>
          <w:tcPr>
            <w:tcW w:w="1523" w:type="dxa"/>
            <w:vMerge w:val="restart"/>
            <w:tcBorders>
              <w:top w:val="single" w:color="auto" w:sz="4" w:space="0"/>
              <w:left w:val="single" w:color="auto" w:sz="4" w:space="0"/>
              <w:right w:val="single" w:color="auto" w:sz="4" w:space="0"/>
            </w:tcBorders>
            <w:noWrap w:val="0"/>
            <w:vAlign w:val="center"/>
          </w:tcPr>
          <w:p w14:paraId="2FFCA44A">
            <w:pPr>
              <w:rPr>
                <w:rFonts w:hint="eastAsia"/>
                <w:sz w:val="20"/>
                <w:szCs w:val="20"/>
              </w:rPr>
            </w:pPr>
            <w:r>
              <w:rPr>
                <w:rFonts w:hint="eastAsia"/>
                <w:sz w:val="20"/>
                <w:szCs w:val="20"/>
              </w:rPr>
              <w:t xml:space="preserve"> 指标1：项目实施是否产生社会综合效益</w:t>
            </w:r>
          </w:p>
          <w:p w14:paraId="11068577">
            <w:pPr>
              <w:rPr>
                <w:rFonts w:ascii="宋体" w:hAnsi="宋体" w:cs="宋体"/>
                <w:sz w:val="20"/>
                <w:szCs w:val="20"/>
              </w:rPr>
            </w:pPr>
          </w:p>
        </w:tc>
        <w:tc>
          <w:tcPr>
            <w:tcW w:w="1200" w:type="dxa"/>
            <w:vMerge w:val="restart"/>
            <w:tcBorders>
              <w:top w:val="single" w:color="auto" w:sz="4" w:space="0"/>
              <w:left w:val="nil"/>
              <w:right w:val="single" w:color="auto" w:sz="4" w:space="0"/>
            </w:tcBorders>
            <w:noWrap w:val="0"/>
            <w:vAlign w:val="center"/>
          </w:tcPr>
          <w:p w14:paraId="182903DE">
            <w:pPr>
              <w:rPr>
                <w:rFonts w:ascii="宋体" w:hAnsi="宋体" w:cs="宋体"/>
                <w:sz w:val="20"/>
                <w:szCs w:val="20"/>
              </w:rPr>
            </w:pPr>
            <w:r>
              <w:rPr>
                <w:rFonts w:hint="eastAsia" w:ascii="宋体" w:hAnsi="宋体" w:cs="宋体"/>
                <w:color w:val="000000"/>
                <w:kern w:val="0"/>
                <w:sz w:val="18"/>
                <w:szCs w:val="18"/>
                <w:lang w:bidi="ar"/>
              </w:rPr>
              <w:t>开展民生工程各项工作，为农民工、老年人、妇女、残疾人、未成年人、军人军属各类困难群体开展法律援助帮助。</w:t>
            </w:r>
            <w:r>
              <w:rPr>
                <w:rFonts w:hint="eastAsia"/>
                <w:sz w:val="20"/>
                <w:szCs w:val="20"/>
              </w:rPr>
              <w:t>　</w:t>
            </w:r>
          </w:p>
        </w:tc>
        <w:tc>
          <w:tcPr>
            <w:tcW w:w="928" w:type="dxa"/>
            <w:vMerge w:val="restart"/>
            <w:tcBorders>
              <w:top w:val="single" w:color="auto" w:sz="4" w:space="0"/>
              <w:left w:val="nil"/>
              <w:right w:val="single" w:color="auto" w:sz="4" w:space="0"/>
            </w:tcBorders>
            <w:noWrap w:val="0"/>
            <w:vAlign w:val="center"/>
          </w:tcPr>
          <w:p w14:paraId="20AD2148">
            <w:pPr>
              <w:rPr>
                <w:rFonts w:ascii="宋体" w:hAnsi="宋体" w:cs="宋体"/>
                <w:sz w:val="20"/>
                <w:szCs w:val="20"/>
              </w:rPr>
            </w:pPr>
            <w:r>
              <w:rPr>
                <w:rFonts w:hint="eastAsia"/>
                <w:sz w:val="20"/>
                <w:szCs w:val="20"/>
              </w:rPr>
              <w:t>　</w:t>
            </w:r>
            <w:r>
              <w:rPr>
                <w:rFonts w:hint="eastAsia" w:ascii="宋体" w:hAnsi="宋体" w:cs="宋体"/>
                <w:color w:val="000000"/>
                <w:kern w:val="0"/>
                <w:sz w:val="18"/>
                <w:szCs w:val="18"/>
                <w:lang w:bidi="ar"/>
              </w:rPr>
              <w:t>为农民工、老年人、妇女、残疾人、未成年人、军人军属各类困难群体开展法律援助帮助</w:t>
            </w:r>
            <w:r>
              <w:rPr>
                <w:rFonts w:hint="eastAsia"/>
                <w:sz w:val="20"/>
                <w:szCs w:val="20"/>
              </w:rPr>
              <w:t>　</w:t>
            </w:r>
          </w:p>
        </w:tc>
        <w:tc>
          <w:tcPr>
            <w:tcW w:w="677" w:type="dxa"/>
            <w:vMerge w:val="restart"/>
            <w:tcBorders>
              <w:top w:val="single" w:color="auto" w:sz="4" w:space="0"/>
              <w:left w:val="single" w:color="auto" w:sz="4" w:space="0"/>
              <w:bottom w:val="single" w:color="000000" w:sz="4" w:space="0"/>
              <w:right w:val="single" w:color="auto" w:sz="4" w:space="0"/>
            </w:tcBorders>
            <w:noWrap w:val="0"/>
            <w:vAlign w:val="center"/>
          </w:tcPr>
          <w:p w14:paraId="4D0EE6C4">
            <w:pPr>
              <w:jc w:val="center"/>
              <w:rPr>
                <w:sz w:val="20"/>
                <w:szCs w:val="20"/>
              </w:rPr>
            </w:pPr>
            <w:r>
              <w:rPr>
                <w:rFonts w:hint="eastAsia"/>
                <w:sz w:val="20"/>
                <w:szCs w:val="20"/>
              </w:rPr>
              <w:t>社会效</w:t>
            </w:r>
          </w:p>
          <w:p w14:paraId="67B57308">
            <w:pPr>
              <w:jc w:val="center"/>
              <w:rPr>
                <w:rFonts w:ascii="宋体" w:hAnsi="宋体" w:cs="宋体"/>
                <w:sz w:val="20"/>
                <w:szCs w:val="20"/>
              </w:rPr>
            </w:pPr>
            <w:r>
              <w:rPr>
                <w:rFonts w:hint="eastAsia"/>
                <w:sz w:val="20"/>
                <w:szCs w:val="20"/>
              </w:rPr>
              <w:t>益指标</w:t>
            </w:r>
          </w:p>
        </w:tc>
        <w:tc>
          <w:tcPr>
            <w:tcW w:w="1140" w:type="dxa"/>
            <w:vMerge w:val="restart"/>
            <w:tcBorders>
              <w:top w:val="single" w:color="auto" w:sz="4" w:space="0"/>
              <w:left w:val="nil"/>
              <w:right w:val="single" w:color="auto" w:sz="4" w:space="0"/>
            </w:tcBorders>
            <w:noWrap w:val="0"/>
            <w:vAlign w:val="center"/>
          </w:tcPr>
          <w:p w14:paraId="346BEACB">
            <w:pPr>
              <w:rPr>
                <w:rFonts w:hint="eastAsia"/>
                <w:sz w:val="20"/>
                <w:szCs w:val="20"/>
              </w:rPr>
            </w:pPr>
            <w:r>
              <w:rPr>
                <w:rFonts w:hint="eastAsia"/>
                <w:sz w:val="20"/>
                <w:szCs w:val="20"/>
              </w:rPr>
              <w:t xml:space="preserve"> 指标1：项目实施是否产生社会综合效益</w:t>
            </w:r>
          </w:p>
          <w:p w14:paraId="2C193996">
            <w:pPr>
              <w:rPr>
                <w:rFonts w:ascii="宋体" w:hAnsi="宋体" w:cs="宋体"/>
                <w:sz w:val="20"/>
                <w:szCs w:val="20"/>
              </w:rPr>
            </w:pPr>
          </w:p>
        </w:tc>
        <w:tc>
          <w:tcPr>
            <w:tcW w:w="840" w:type="dxa"/>
            <w:vMerge w:val="restart"/>
            <w:tcBorders>
              <w:top w:val="single" w:color="auto" w:sz="4" w:space="0"/>
              <w:left w:val="nil"/>
              <w:right w:val="single" w:color="auto" w:sz="4" w:space="0"/>
            </w:tcBorders>
            <w:noWrap w:val="0"/>
            <w:vAlign w:val="center"/>
          </w:tcPr>
          <w:p w14:paraId="1CD468D6">
            <w:pPr>
              <w:rPr>
                <w:rFonts w:ascii="宋体" w:hAnsi="宋体" w:cs="宋体"/>
                <w:sz w:val="20"/>
                <w:szCs w:val="20"/>
              </w:rPr>
            </w:pPr>
            <w:r>
              <w:rPr>
                <w:rFonts w:hint="eastAsia"/>
                <w:sz w:val="15"/>
                <w:szCs w:val="15"/>
              </w:rPr>
              <w:t>　</w:t>
            </w:r>
            <w:r>
              <w:rPr>
                <w:rFonts w:hint="eastAsia" w:ascii="宋体" w:hAnsi="宋体" w:cs="宋体"/>
                <w:color w:val="000000"/>
                <w:kern w:val="0"/>
                <w:sz w:val="15"/>
                <w:szCs w:val="15"/>
                <w:lang w:bidi="ar"/>
              </w:rPr>
              <w:t>开展民生工程各项工作，为农民工、老年人、妇女、残疾人、未成年人、军人军属各类困难群体开展法律援助帮助</w:t>
            </w:r>
            <w:r>
              <w:rPr>
                <w:rFonts w:hint="eastAsia" w:ascii="宋体" w:hAnsi="宋体" w:cs="宋体"/>
                <w:color w:val="000000"/>
                <w:kern w:val="0"/>
                <w:sz w:val="18"/>
                <w:szCs w:val="18"/>
                <w:lang w:bidi="ar"/>
              </w:rPr>
              <w:t>。</w:t>
            </w:r>
            <w:r>
              <w:rPr>
                <w:rFonts w:hint="eastAsia"/>
                <w:sz w:val="20"/>
                <w:szCs w:val="20"/>
              </w:rPr>
              <w:t>　</w:t>
            </w:r>
          </w:p>
        </w:tc>
        <w:tc>
          <w:tcPr>
            <w:tcW w:w="840" w:type="dxa"/>
            <w:tcBorders>
              <w:top w:val="single" w:color="auto" w:sz="4" w:space="0"/>
              <w:left w:val="single" w:color="auto" w:sz="4" w:space="0"/>
              <w:bottom w:val="nil"/>
              <w:right w:val="single" w:color="auto" w:sz="4" w:space="0"/>
            </w:tcBorders>
            <w:noWrap w:val="0"/>
            <w:vAlign w:val="center"/>
          </w:tcPr>
          <w:p w14:paraId="49575B51">
            <w:pPr>
              <w:rPr>
                <w:rFonts w:ascii="宋体" w:hAnsi="宋体" w:cs="宋体"/>
                <w:sz w:val="20"/>
                <w:szCs w:val="20"/>
              </w:rPr>
            </w:pPr>
            <w:r>
              <w:rPr>
                <w:rFonts w:hint="eastAsia" w:ascii="宋体" w:hAnsi="宋体" w:cs="宋体"/>
                <w:color w:val="000000"/>
                <w:kern w:val="0"/>
                <w:sz w:val="18"/>
                <w:szCs w:val="18"/>
                <w:lang w:bidi="ar"/>
              </w:rPr>
              <w:t>为农民工、老年人、妇女、残疾人、未成年人、军人军属各类困难群体开展法律援助帮助</w:t>
            </w:r>
            <w:r>
              <w:rPr>
                <w:rFonts w:hint="eastAsia"/>
                <w:sz w:val="20"/>
                <w:szCs w:val="20"/>
              </w:rPr>
              <w:t>　</w:t>
            </w:r>
          </w:p>
        </w:tc>
      </w:tr>
      <w:tr w14:paraId="10435183">
        <w:tblPrEx>
          <w:tblCellMar>
            <w:top w:w="0" w:type="dxa"/>
            <w:left w:w="108" w:type="dxa"/>
            <w:bottom w:w="0" w:type="dxa"/>
            <w:right w:w="108" w:type="dxa"/>
          </w:tblCellMar>
        </w:tblPrEx>
        <w:trPr>
          <w:trHeight w:val="90"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60378F73">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noWrap w:val="0"/>
            <w:vAlign w:val="center"/>
          </w:tcPr>
          <w:p w14:paraId="49D0A73C">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noWrap w:val="0"/>
            <w:vAlign w:val="center"/>
          </w:tcPr>
          <w:p w14:paraId="0B2F6AA5">
            <w:pPr>
              <w:rPr>
                <w:rFonts w:ascii="宋体" w:hAnsi="宋体" w:cs="宋体"/>
                <w:sz w:val="20"/>
                <w:szCs w:val="20"/>
              </w:rPr>
            </w:pPr>
          </w:p>
        </w:tc>
        <w:tc>
          <w:tcPr>
            <w:tcW w:w="1523" w:type="dxa"/>
            <w:vMerge w:val="continue"/>
            <w:tcBorders>
              <w:left w:val="single" w:color="auto" w:sz="4" w:space="0"/>
              <w:bottom w:val="single" w:color="auto" w:sz="4" w:space="0"/>
              <w:right w:val="single" w:color="auto" w:sz="4" w:space="0"/>
            </w:tcBorders>
            <w:noWrap w:val="0"/>
            <w:vAlign w:val="center"/>
          </w:tcPr>
          <w:p w14:paraId="4F7E5585">
            <w:pPr>
              <w:rPr>
                <w:rFonts w:ascii="宋体" w:hAnsi="宋体" w:cs="宋体"/>
                <w:sz w:val="20"/>
                <w:szCs w:val="20"/>
              </w:rPr>
            </w:pPr>
          </w:p>
        </w:tc>
        <w:tc>
          <w:tcPr>
            <w:tcW w:w="1200" w:type="dxa"/>
            <w:vMerge w:val="continue"/>
            <w:tcBorders>
              <w:left w:val="nil"/>
              <w:bottom w:val="single" w:color="auto" w:sz="4" w:space="0"/>
              <w:right w:val="single" w:color="auto" w:sz="4" w:space="0"/>
            </w:tcBorders>
            <w:noWrap w:val="0"/>
            <w:vAlign w:val="center"/>
          </w:tcPr>
          <w:p w14:paraId="2EF105C6">
            <w:pPr>
              <w:rPr>
                <w:rFonts w:ascii="宋体" w:hAnsi="宋体" w:cs="宋体"/>
                <w:sz w:val="20"/>
                <w:szCs w:val="20"/>
              </w:rPr>
            </w:pPr>
          </w:p>
        </w:tc>
        <w:tc>
          <w:tcPr>
            <w:tcW w:w="928" w:type="dxa"/>
            <w:vMerge w:val="continue"/>
            <w:tcBorders>
              <w:left w:val="nil"/>
              <w:bottom w:val="single" w:color="auto" w:sz="4" w:space="0"/>
              <w:right w:val="single" w:color="auto" w:sz="4" w:space="0"/>
            </w:tcBorders>
            <w:noWrap w:val="0"/>
            <w:vAlign w:val="center"/>
          </w:tcPr>
          <w:p w14:paraId="3D1DFAF6">
            <w:pPr>
              <w:rPr>
                <w:rFonts w:ascii="宋体" w:hAnsi="宋体" w:cs="宋体"/>
                <w:sz w:val="20"/>
                <w:szCs w:val="20"/>
              </w:rPr>
            </w:pPr>
          </w:p>
        </w:tc>
        <w:tc>
          <w:tcPr>
            <w:tcW w:w="677" w:type="dxa"/>
            <w:vMerge w:val="continue"/>
            <w:tcBorders>
              <w:top w:val="nil"/>
              <w:left w:val="single" w:color="auto" w:sz="4" w:space="0"/>
              <w:bottom w:val="single" w:color="000000" w:sz="4" w:space="0"/>
              <w:right w:val="single" w:color="auto" w:sz="4" w:space="0"/>
            </w:tcBorders>
            <w:noWrap w:val="0"/>
            <w:vAlign w:val="center"/>
          </w:tcPr>
          <w:p w14:paraId="75498208">
            <w:pPr>
              <w:rPr>
                <w:rFonts w:ascii="宋体" w:hAnsi="宋体" w:cs="宋体"/>
                <w:sz w:val="20"/>
                <w:szCs w:val="20"/>
              </w:rPr>
            </w:pPr>
          </w:p>
        </w:tc>
        <w:tc>
          <w:tcPr>
            <w:tcW w:w="1140" w:type="dxa"/>
            <w:vMerge w:val="continue"/>
            <w:tcBorders>
              <w:left w:val="nil"/>
              <w:bottom w:val="single" w:color="auto" w:sz="4" w:space="0"/>
              <w:right w:val="single" w:color="auto" w:sz="4" w:space="0"/>
            </w:tcBorders>
            <w:noWrap w:val="0"/>
            <w:vAlign w:val="center"/>
          </w:tcPr>
          <w:p w14:paraId="5A8C5738">
            <w:pPr>
              <w:rPr>
                <w:rFonts w:ascii="宋体" w:hAnsi="宋体" w:cs="宋体"/>
                <w:sz w:val="20"/>
                <w:szCs w:val="20"/>
              </w:rPr>
            </w:pPr>
          </w:p>
        </w:tc>
        <w:tc>
          <w:tcPr>
            <w:tcW w:w="840" w:type="dxa"/>
            <w:vMerge w:val="continue"/>
            <w:tcBorders>
              <w:left w:val="nil"/>
              <w:bottom w:val="single" w:color="auto" w:sz="4" w:space="0"/>
              <w:right w:val="single" w:color="auto" w:sz="4" w:space="0"/>
            </w:tcBorders>
            <w:noWrap w:val="0"/>
            <w:vAlign w:val="center"/>
          </w:tcPr>
          <w:p w14:paraId="3C50CACC">
            <w:pPr>
              <w:rPr>
                <w:rFonts w:ascii="宋体" w:hAnsi="宋体" w:cs="宋体"/>
                <w:sz w:val="20"/>
                <w:szCs w:val="20"/>
              </w:rPr>
            </w:pPr>
          </w:p>
        </w:tc>
        <w:tc>
          <w:tcPr>
            <w:tcW w:w="840" w:type="dxa"/>
            <w:tcBorders>
              <w:top w:val="nil"/>
              <w:left w:val="single" w:color="auto" w:sz="4" w:space="0"/>
              <w:bottom w:val="single" w:color="auto" w:sz="4" w:space="0"/>
              <w:right w:val="single" w:color="auto" w:sz="4" w:space="0"/>
            </w:tcBorders>
            <w:noWrap w:val="0"/>
            <w:vAlign w:val="center"/>
          </w:tcPr>
          <w:p w14:paraId="6AE4C0D2">
            <w:pPr>
              <w:rPr>
                <w:rFonts w:ascii="宋体" w:hAnsi="宋体" w:cs="宋体"/>
                <w:sz w:val="20"/>
                <w:szCs w:val="20"/>
              </w:rPr>
            </w:pPr>
          </w:p>
        </w:tc>
      </w:tr>
      <w:tr w14:paraId="461A193B">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4B3E28A1">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noWrap w:val="0"/>
            <w:vAlign w:val="center"/>
          </w:tcPr>
          <w:p w14:paraId="716B233D">
            <w:pPr>
              <w:rPr>
                <w:rFonts w:ascii="宋体" w:hAnsi="宋体" w:cs="宋体"/>
                <w:sz w:val="20"/>
                <w:szCs w:val="20"/>
              </w:rPr>
            </w:pPr>
          </w:p>
        </w:tc>
        <w:tc>
          <w:tcPr>
            <w:tcW w:w="940" w:type="dxa"/>
            <w:vMerge w:val="restart"/>
            <w:tcBorders>
              <w:top w:val="nil"/>
              <w:left w:val="single" w:color="auto" w:sz="4" w:space="0"/>
              <w:bottom w:val="single" w:color="000000" w:sz="4" w:space="0"/>
              <w:right w:val="single" w:color="auto" w:sz="4" w:space="0"/>
            </w:tcBorders>
            <w:noWrap w:val="0"/>
            <w:vAlign w:val="center"/>
          </w:tcPr>
          <w:p w14:paraId="3E369029">
            <w:pPr>
              <w:jc w:val="center"/>
              <w:rPr>
                <w:rFonts w:ascii="宋体" w:hAnsi="宋体" w:cs="宋体"/>
                <w:sz w:val="20"/>
                <w:szCs w:val="20"/>
              </w:rPr>
            </w:pPr>
            <w:r>
              <w:rPr>
                <w:rFonts w:hint="eastAsia"/>
                <w:sz w:val="20"/>
                <w:szCs w:val="20"/>
              </w:rPr>
              <w:t>生态效益指标</w:t>
            </w:r>
          </w:p>
        </w:tc>
        <w:tc>
          <w:tcPr>
            <w:tcW w:w="1523" w:type="dxa"/>
            <w:vMerge w:val="restart"/>
            <w:tcBorders>
              <w:top w:val="nil"/>
              <w:left w:val="nil"/>
              <w:right w:val="single" w:color="auto" w:sz="4" w:space="0"/>
            </w:tcBorders>
            <w:noWrap w:val="0"/>
            <w:vAlign w:val="center"/>
          </w:tcPr>
          <w:p w14:paraId="197A761E">
            <w:pPr>
              <w:rPr>
                <w:rFonts w:hint="eastAsia"/>
                <w:sz w:val="20"/>
                <w:szCs w:val="20"/>
              </w:rPr>
            </w:pPr>
            <w:r>
              <w:rPr>
                <w:rFonts w:hint="eastAsia"/>
                <w:sz w:val="20"/>
                <w:szCs w:val="20"/>
              </w:rPr>
              <w:t xml:space="preserve"> 指标1：是否对当地生态环境造成影响</w:t>
            </w:r>
          </w:p>
          <w:p w14:paraId="66A2AAAE">
            <w:pPr>
              <w:rPr>
                <w:rFonts w:ascii="宋体" w:hAnsi="宋体" w:cs="宋体"/>
                <w:sz w:val="20"/>
                <w:szCs w:val="20"/>
              </w:rPr>
            </w:pPr>
            <w:r>
              <w:rPr>
                <w:rFonts w:hint="eastAsia"/>
                <w:sz w:val="20"/>
                <w:szCs w:val="20"/>
              </w:rPr>
              <w:t xml:space="preserve"> </w:t>
            </w:r>
          </w:p>
        </w:tc>
        <w:tc>
          <w:tcPr>
            <w:tcW w:w="1200" w:type="dxa"/>
            <w:vMerge w:val="restart"/>
            <w:tcBorders>
              <w:top w:val="nil"/>
              <w:left w:val="nil"/>
              <w:right w:val="single" w:color="auto" w:sz="4" w:space="0"/>
            </w:tcBorders>
            <w:noWrap w:val="0"/>
            <w:vAlign w:val="center"/>
          </w:tcPr>
          <w:p w14:paraId="01380028">
            <w:pPr>
              <w:rPr>
                <w:rFonts w:hint="eastAsia"/>
                <w:sz w:val="20"/>
                <w:szCs w:val="20"/>
              </w:rPr>
            </w:pPr>
            <w:r>
              <w:rPr>
                <w:rFonts w:hint="eastAsia"/>
                <w:sz w:val="20"/>
                <w:szCs w:val="20"/>
              </w:rPr>
              <w:t>不对周边生态环境带来影响　</w:t>
            </w:r>
          </w:p>
          <w:p w14:paraId="603F880D">
            <w:pPr>
              <w:rPr>
                <w:rFonts w:ascii="宋体" w:hAnsi="宋体" w:cs="宋体"/>
                <w:sz w:val="20"/>
                <w:szCs w:val="20"/>
              </w:rPr>
            </w:pPr>
            <w:r>
              <w:rPr>
                <w:rFonts w:hint="eastAsia"/>
                <w:sz w:val="20"/>
                <w:szCs w:val="20"/>
              </w:rPr>
              <w:t>　</w:t>
            </w:r>
          </w:p>
        </w:tc>
        <w:tc>
          <w:tcPr>
            <w:tcW w:w="928" w:type="dxa"/>
            <w:vMerge w:val="restart"/>
            <w:tcBorders>
              <w:top w:val="nil"/>
              <w:left w:val="nil"/>
              <w:right w:val="single" w:color="auto" w:sz="4" w:space="0"/>
            </w:tcBorders>
            <w:noWrap w:val="0"/>
            <w:vAlign w:val="center"/>
          </w:tcPr>
          <w:p w14:paraId="52ADB0B8">
            <w:pPr>
              <w:rPr>
                <w:rFonts w:hint="eastAsia"/>
                <w:sz w:val="20"/>
                <w:szCs w:val="20"/>
              </w:rPr>
            </w:pPr>
            <w:r>
              <w:rPr>
                <w:rFonts w:hint="eastAsia"/>
                <w:sz w:val="20"/>
                <w:szCs w:val="20"/>
              </w:rPr>
              <w:t>不对周边生态环境带来影响　</w:t>
            </w:r>
          </w:p>
          <w:p w14:paraId="6E727201">
            <w:pPr>
              <w:rPr>
                <w:rFonts w:ascii="宋体" w:hAnsi="宋体" w:cs="宋体"/>
                <w:sz w:val="20"/>
                <w:szCs w:val="20"/>
              </w:rPr>
            </w:pPr>
            <w:r>
              <w:rPr>
                <w:rFonts w:hint="eastAsia"/>
                <w:sz w:val="20"/>
                <w:szCs w:val="20"/>
              </w:rPr>
              <w:t>　</w:t>
            </w:r>
          </w:p>
        </w:tc>
        <w:tc>
          <w:tcPr>
            <w:tcW w:w="677" w:type="dxa"/>
            <w:vMerge w:val="restart"/>
            <w:tcBorders>
              <w:top w:val="nil"/>
              <w:left w:val="single" w:color="auto" w:sz="4" w:space="0"/>
              <w:bottom w:val="single" w:color="000000" w:sz="4" w:space="0"/>
              <w:right w:val="single" w:color="auto" w:sz="4" w:space="0"/>
            </w:tcBorders>
            <w:noWrap w:val="0"/>
            <w:vAlign w:val="center"/>
          </w:tcPr>
          <w:p w14:paraId="388DCBF3">
            <w:pPr>
              <w:jc w:val="center"/>
              <w:rPr>
                <w:rFonts w:ascii="宋体" w:hAnsi="宋体" w:cs="宋体"/>
                <w:sz w:val="20"/>
                <w:szCs w:val="20"/>
              </w:rPr>
            </w:pPr>
            <w:r>
              <w:rPr>
                <w:rFonts w:hint="eastAsia"/>
                <w:sz w:val="20"/>
                <w:szCs w:val="20"/>
              </w:rPr>
              <w:t>生态效益指标</w:t>
            </w:r>
          </w:p>
        </w:tc>
        <w:tc>
          <w:tcPr>
            <w:tcW w:w="1140" w:type="dxa"/>
            <w:tcBorders>
              <w:top w:val="single" w:color="auto" w:sz="4" w:space="0"/>
              <w:left w:val="single" w:color="auto" w:sz="4" w:space="0"/>
              <w:bottom w:val="nil"/>
              <w:right w:val="single" w:color="auto" w:sz="4" w:space="0"/>
            </w:tcBorders>
            <w:noWrap w:val="0"/>
            <w:vAlign w:val="center"/>
          </w:tcPr>
          <w:p w14:paraId="05445F73">
            <w:pPr>
              <w:rPr>
                <w:rFonts w:ascii="宋体" w:hAnsi="宋体" w:cs="宋体"/>
                <w:sz w:val="20"/>
                <w:szCs w:val="20"/>
              </w:rPr>
            </w:pPr>
            <w:r>
              <w:rPr>
                <w:rFonts w:hint="eastAsia"/>
                <w:sz w:val="20"/>
                <w:szCs w:val="20"/>
              </w:rPr>
              <w:t xml:space="preserve"> 指标1：是否对当地生态环境造成影响</w:t>
            </w:r>
          </w:p>
        </w:tc>
        <w:tc>
          <w:tcPr>
            <w:tcW w:w="840" w:type="dxa"/>
            <w:vMerge w:val="restart"/>
            <w:tcBorders>
              <w:top w:val="nil"/>
              <w:left w:val="nil"/>
              <w:right w:val="single" w:color="auto" w:sz="4" w:space="0"/>
            </w:tcBorders>
            <w:noWrap w:val="0"/>
            <w:vAlign w:val="center"/>
          </w:tcPr>
          <w:p w14:paraId="5DA8379B">
            <w:pPr>
              <w:rPr>
                <w:rFonts w:ascii="宋体" w:hAnsi="宋体" w:cs="宋体"/>
                <w:sz w:val="20"/>
                <w:szCs w:val="20"/>
              </w:rPr>
            </w:pPr>
            <w:r>
              <w:rPr>
                <w:rFonts w:hint="eastAsia"/>
                <w:sz w:val="20"/>
                <w:szCs w:val="20"/>
              </w:rPr>
              <w:t>　不对周边生态环境带来影响</w:t>
            </w:r>
          </w:p>
        </w:tc>
        <w:tc>
          <w:tcPr>
            <w:tcW w:w="840" w:type="dxa"/>
            <w:vMerge w:val="restart"/>
            <w:tcBorders>
              <w:top w:val="single" w:color="auto" w:sz="4" w:space="0"/>
              <w:left w:val="nil"/>
              <w:right w:val="single" w:color="auto" w:sz="4" w:space="0"/>
            </w:tcBorders>
            <w:noWrap w:val="0"/>
            <w:vAlign w:val="center"/>
          </w:tcPr>
          <w:p w14:paraId="07CE6131">
            <w:pPr>
              <w:rPr>
                <w:rFonts w:ascii="宋体" w:hAnsi="宋体" w:cs="宋体"/>
                <w:sz w:val="20"/>
                <w:szCs w:val="20"/>
              </w:rPr>
            </w:pPr>
            <w:r>
              <w:rPr>
                <w:rFonts w:hint="eastAsia"/>
              </w:rPr>
              <w:t>不对周边生态环境带来影响</w:t>
            </w:r>
          </w:p>
        </w:tc>
      </w:tr>
      <w:tr w14:paraId="393DACB4">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6B6D1816">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noWrap w:val="0"/>
            <w:vAlign w:val="center"/>
          </w:tcPr>
          <w:p w14:paraId="42F9AA2D">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noWrap w:val="0"/>
            <w:vAlign w:val="center"/>
          </w:tcPr>
          <w:p w14:paraId="589D8C9A">
            <w:pPr>
              <w:rPr>
                <w:rFonts w:ascii="宋体" w:hAnsi="宋体" w:cs="宋体"/>
                <w:sz w:val="20"/>
                <w:szCs w:val="20"/>
              </w:rPr>
            </w:pPr>
          </w:p>
        </w:tc>
        <w:tc>
          <w:tcPr>
            <w:tcW w:w="1523" w:type="dxa"/>
            <w:vMerge w:val="continue"/>
            <w:tcBorders>
              <w:left w:val="nil"/>
              <w:bottom w:val="single" w:color="auto" w:sz="4" w:space="0"/>
              <w:right w:val="single" w:color="auto" w:sz="4" w:space="0"/>
            </w:tcBorders>
            <w:noWrap w:val="0"/>
            <w:vAlign w:val="center"/>
          </w:tcPr>
          <w:p w14:paraId="640F8A84">
            <w:pPr>
              <w:rPr>
                <w:rFonts w:ascii="宋体" w:hAnsi="宋体" w:cs="宋体"/>
                <w:sz w:val="20"/>
                <w:szCs w:val="20"/>
              </w:rPr>
            </w:pPr>
          </w:p>
        </w:tc>
        <w:tc>
          <w:tcPr>
            <w:tcW w:w="1200" w:type="dxa"/>
            <w:vMerge w:val="continue"/>
            <w:tcBorders>
              <w:left w:val="nil"/>
              <w:bottom w:val="single" w:color="auto" w:sz="4" w:space="0"/>
              <w:right w:val="single" w:color="auto" w:sz="4" w:space="0"/>
            </w:tcBorders>
            <w:noWrap w:val="0"/>
            <w:vAlign w:val="center"/>
          </w:tcPr>
          <w:p w14:paraId="39D966D5">
            <w:pPr>
              <w:rPr>
                <w:rFonts w:ascii="宋体" w:hAnsi="宋体" w:cs="宋体"/>
                <w:sz w:val="20"/>
                <w:szCs w:val="20"/>
              </w:rPr>
            </w:pPr>
          </w:p>
        </w:tc>
        <w:tc>
          <w:tcPr>
            <w:tcW w:w="928" w:type="dxa"/>
            <w:vMerge w:val="continue"/>
            <w:tcBorders>
              <w:left w:val="nil"/>
              <w:bottom w:val="single" w:color="auto" w:sz="4" w:space="0"/>
              <w:right w:val="single" w:color="auto" w:sz="4" w:space="0"/>
            </w:tcBorders>
            <w:noWrap w:val="0"/>
            <w:vAlign w:val="center"/>
          </w:tcPr>
          <w:p w14:paraId="574BD547">
            <w:pPr>
              <w:rPr>
                <w:rFonts w:ascii="宋体" w:hAnsi="宋体" w:cs="宋体"/>
                <w:sz w:val="20"/>
                <w:szCs w:val="20"/>
              </w:rPr>
            </w:pPr>
          </w:p>
        </w:tc>
        <w:tc>
          <w:tcPr>
            <w:tcW w:w="677" w:type="dxa"/>
            <w:vMerge w:val="continue"/>
            <w:tcBorders>
              <w:top w:val="nil"/>
              <w:left w:val="single" w:color="auto" w:sz="4" w:space="0"/>
              <w:bottom w:val="single" w:color="000000" w:sz="4" w:space="0"/>
              <w:right w:val="single" w:color="auto" w:sz="4" w:space="0"/>
            </w:tcBorders>
            <w:noWrap w:val="0"/>
            <w:vAlign w:val="center"/>
          </w:tcPr>
          <w:p w14:paraId="37079CD5">
            <w:pPr>
              <w:rPr>
                <w:rFonts w:ascii="宋体" w:hAnsi="宋体" w:cs="宋体"/>
                <w:sz w:val="20"/>
                <w:szCs w:val="20"/>
              </w:rPr>
            </w:pPr>
          </w:p>
        </w:tc>
        <w:tc>
          <w:tcPr>
            <w:tcW w:w="1140" w:type="dxa"/>
            <w:tcBorders>
              <w:top w:val="nil"/>
              <w:left w:val="single" w:color="auto" w:sz="4" w:space="0"/>
              <w:bottom w:val="single" w:color="auto" w:sz="4" w:space="0"/>
              <w:right w:val="single" w:color="auto" w:sz="4" w:space="0"/>
            </w:tcBorders>
            <w:noWrap w:val="0"/>
            <w:vAlign w:val="center"/>
          </w:tcPr>
          <w:p w14:paraId="7F685068">
            <w:pPr>
              <w:rPr>
                <w:rFonts w:ascii="宋体" w:hAnsi="宋体" w:cs="宋体"/>
                <w:sz w:val="20"/>
                <w:szCs w:val="20"/>
              </w:rPr>
            </w:pPr>
          </w:p>
        </w:tc>
        <w:tc>
          <w:tcPr>
            <w:tcW w:w="840" w:type="dxa"/>
            <w:vMerge w:val="continue"/>
            <w:tcBorders>
              <w:left w:val="nil"/>
              <w:bottom w:val="single" w:color="auto" w:sz="4" w:space="0"/>
              <w:right w:val="single" w:color="auto" w:sz="4" w:space="0"/>
            </w:tcBorders>
            <w:noWrap w:val="0"/>
            <w:vAlign w:val="center"/>
          </w:tcPr>
          <w:p w14:paraId="2B15FE9E">
            <w:pPr>
              <w:rPr>
                <w:rFonts w:ascii="宋体" w:hAnsi="宋体" w:cs="宋体"/>
                <w:sz w:val="20"/>
                <w:szCs w:val="20"/>
              </w:rPr>
            </w:pPr>
          </w:p>
        </w:tc>
        <w:tc>
          <w:tcPr>
            <w:tcW w:w="840" w:type="dxa"/>
            <w:vMerge w:val="continue"/>
            <w:tcBorders>
              <w:left w:val="nil"/>
              <w:bottom w:val="single" w:color="auto" w:sz="4" w:space="0"/>
              <w:right w:val="single" w:color="auto" w:sz="4" w:space="0"/>
            </w:tcBorders>
            <w:noWrap w:val="0"/>
            <w:vAlign w:val="center"/>
          </w:tcPr>
          <w:p w14:paraId="5577C8D8">
            <w:pPr>
              <w:rPr>
                <w:rFonts w:ascii="宋体" w:hAnsi="宋体" w:cs="宋体"/>
                <w:sz w:val="20"/>
                <w:szCs w:val="20"/>
              </w:rPr>
            </w:pPr>
          </w:p>
        </w:tc>
      </w:tr>
      <w:tr w14:paraId="63FEFFEB">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0C9613A5">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noWrap w:val="0"/>
            <w:vAlign w:val="center"/>
          </w:tcPr>
          <w:p w14:paraId="1B57A398">
            <w:pPr>
              <w:rPr>
                <w:rFonts w:ascii="宋体" w:hAnsi="宋体" w:cs="宋体"/>
                <w:sz w:val="20"/>
                <w:szCs w:val="20"/>
              </w:rPr>
            </w:pPr>
          </w:p>
        </w:tc>
        <w:tc>
          <w:tcPr>
            <w:tcW w:w="940" w:type="dxa"/>
            <w:tcBorders>
              <w:top w:val="nil"/>
              <w:left w:val="single" w:color="auto" w:sz="4" w:space="0"/>
              <w:bottom w:val="single" w:color="000000" w:sz="4" w:space="0"/>
              <w:right w:val="single" w:color="auto" w:sz="4" w:space="0"/>
            </w:tcBorders>
            <w:noWrap w:val="0"/>
            <w:vAlign w:val="center"/>
          </w:tcPr>
          <w:p w14:paraId="73A8B852">
            <w:pPr>
              <w:jc w:val="center"/>
              <w:rPr>
                <w:rFonts w:hint="eastAsia" w:eastAsia="宋体"/>
                <w:sz w:val="20"/>
                <w:szCs w:val="20"/>
                <w:lang w:eastAsia="zh-CN"/>
              </w:rPr>
            </w:pPr>
            <w:r>
              <w:rPr>
                <w:rFonts w:hint="eastAsia"/>
                <w:sz w:val="20"/>
                <w:szCs w:val="20"/>
              </w:rPr>
              <w:t>可持续影响</w:t>
            </w:r>
          </w:p>
          <w:p w14:paraId="67B57DDF">
            <w:pPr>
              <w:jc w:val="center"/>
              <w:rPr>
                <w:rFonts w:ascii="宋体" w:hAnsi="宋体" w:cs="宋体"/>
                <w:sz w:val="20"/>
                <w:szCs w:val="20"/>
              </w:rPr>
            </w:pPr>
            <w:r>
              <w:rPr>
                <w:rFonts w:hint="eastAsia"/>
                <w:sz w:val="20"/>
                <w:szCs w:val="20"/>
              </w:rPr>
              <w:t>指标</w:t>
            </w:r>
          </w:p>
        </w:tc>
        <w:tc>
          <w:tcPr>
            <w:tcW w:w="1523" w:type="dxa"/>
            <w:tcBorders>
              <w:top w:val="nil"/>
              <w:left w:val="nil"/>
              <w:bottom w:val="single" w:color="auto" w:sz="4" w:space="0"/>
              <w:right w:val="single" w:color="auto" w:sz="4" w:space="0"/>
            </w:tcBorders>
            <w:noWrap w:val="0"/>
            <w:vAlign w:val="center"/>
          </w:tcPr>
          <w:p w14:paraId="76C9D863">
            <w:pPr>
              <w:rPr>
                <w:rFonts w:ascii="宋体" w:hAnsi="宋体" w:cs="宋体"/>
                <w:sz w:val="20"/>
                <w:szCs w:val="20"/>
              </w:rPr>
            </w:pPr>
            <w:r>
              <w:rPr>
                <w:rFonts w:hint="eastAsia"/>
                <w:sz w:val="20"/>
                <w:szCs w:val="20"/>
              </w:rPr>
              <w:t xml:space="preserve"> 指标1：项目实施后一定时期内是否有可持续影响</w:t>
            </w:r>
          </w:p>
        </w:tc>
        <w:tc>
          <w:tcPr>
            <w:tcW w:w="1200" w:type="dxa"/>
            <w:tcBorders>
              <w:top w:val="nil"/>
              <w:left w:val="nil"/>
              <w:bottom w:val="single" w:color="auto" w:sz="4" w:space="0"/>
              <w:right w:val="single" w:color="auto" w:sz="4" w:space="0"/>
            </w:tcBorders>
            <w:noWrap w:val="0"/>
            <w:vAlign w:val="center"/>
          </w:tcPr>
          <w:p w14:paraId="6A4FBE25">
            <w:pPr>
              <w:rPr>
                <w:rFonts w:ascii="宋体" w:hAnsi="宋体" w:cs="宋体"/>
                <w:sz w:val="20"/>
                <w:szCs w:val="20"/>
              </w:rPr>
            </w:pPr>
            <w:r>
              <w:rPr>
                <w:rFonts w:hint="eastAsia" w:ascii="宋体" w:hAnsi="宋体"/>
                <w:sz w:val="20"/>
                <w:szCs w:val="20"/>
              </w:rPr>
              <w:t>积极拓展法律援助工作，努力维护弱势群体的合法权益，得到了群众的广泛认可</w:t>
            </w:r>
          </w:p>
        </w:tc>
        <w:tc>
          <w:tcPr>
            <w:tcW w:w="928" w:type="dxa"/>
            <w:tcBorders>
              <w:top w:val="nil"/>
              <w:left w:val="nil"/>
              <w:bottom w:val="single" w:color="auto" w:sz="4" w:space="0"/>
              <w:right w:val="single" w:color="auto" w:sz="4" w:space="0"/>
            </w:tcBorders>
            <w:noWrap w:val="0"/>
            <w:vAlign w:val="center"/>
          </w:tcPr>
          <w:p w14:paraId="3A36598E">
            <w:pPr>
              <w:rPr>
                <w:rFonts w:ascii="宋体" w:hAnsi="宋体" w:cs="宋体"/>
                <w:sz w:val="20"/>
                <w:szCs w:val="20"/>
              </w:rPr>
            </w:pPr>
            <w:r>
              <w:rPr>
                <w:rFonts w:hint="eastAsia" w:ascii="宋体" w:hAnsi="宋体"/>
                <w:sz w:val="20"/>
                <w:szCs w:val="20"/>
              </w:rPr>
              <w:t>积极拓展法律援助工作，努力维护弱势群体的合法权益，得到了群众的广泛认可</w:t>
            </w:r>
          </w:p>
        </w:tc>
        <w:tc>
          <w:tcPr>
            <w:tcW w:w="677" w:type="dxa"/>
            <w:tcBorders>
              <w:top w:val="nil"/>
              <w:left w:val="single" w:color="auto" w:sz="4" w:space="0"/>
              <w:bottom w:val="single" w:color="000000" w:sz="4" w:space="0"/>
              <w:right w:val="single" w:color="auto" w:sz="4" w:space="0"/>
            </w:tcBorders>
            <w:noWrap w:val="0"/>
            <w:vAlign w:val="center"/>
          </w:tcPr>
          <w:p w14:paraId="4A2D4E9A">
            <w:pPr>
              <w:jc w:val="center"/>
              <w:rPr>
                <w:sz w:val="20"/>
                <w:szCs w:val="20"/>
              </w:rPr>
            </w:pPr>
            <w:r>
              <w:rPr>
                <w:rFonts w:hint="eastAsia"/>
                <w:sz w:val="20"/>
                <w:szCs w:val="20"/>
              </w:rPr>
              <w:t>可持续</w:t>
            </w:r>
          </w:p>
          <w:p w14:paraId="37612FC0">
            <w:pPr>
              <w:jc w:val="center"/>
              <w:rPr>
                <w:sz w:val="20"/>
                <w:szCs w:val="20"/>
              </w:rPr>
            </w:pPr>
            <w:r>
              <w:rPr>
                <w:rFonts w:hint="eastAsia"/>
                <w:sz w:val="20"/>
                <w:szCs w:val="20"/>
              </w:rPr>
              <w:t>影响</w:t>
            </w:r>
          </w:p>
          <w:p w14:paraId="25691A6A">
            <w:pPr>
              <w:jc w:val="center"/>
              <w:rPr>
                <w:rFonts w:ascii="宋体" w:hAnsi="宋体" w:cs="宋体"/>
                <w:sz w:val="20"/>
                <w:szCs w:val="20"/>
              </w:rPr>
            </w:pPr>
            <w:r>
              <w:rPr>
                <w:rFonts w:hint="eastAsia"/>
                <w:sz w:val="20"/>
                <w:szCs w:val="20"/>
              </w:rPr>
              <w:t>指标</w:t>
            </w:r>
          </w:p>
        </w:tc>
        <w:tc>
          <w:tcPr>
            <w:tcW w:w="1140" w:type="dxa"/>
            <w:tcBorders>
              <w:top w:val="single" w:color="auto" w:sz="4" w:space="0"/>
              <w:left w:val="nil"/>
              <w:bottom w:val="single" w:color="auto" w:sz="4" w:space="0"/>
              <w:right w:val="single" w:color="auto" w:sz="4" w:space="0"/>
            </w:tcBorders>
            <w:noWrap w:val="0"/>
            <w:vAlign w:val="center"/>
          </w:tcPr>
          <w:p w14:paraId="28487D60">
            <w:pPr>
              <w:rPr>
                <w:rFonts w:ascii="宋体" w:hAnsi="宋体" w:cs="宋体"/>
                <w:sz w:val="20"/>
                <w:szCs w:val="20"/>
              </w:rPr>
            </w:pPr>
            <w:r>
              <w:rPr>
                <w:rFonts w:hint="eastAsia"/>
                <w:sz w:val="20"/>
                <w:szCs w:val="20"/>
              </w:rPr>
              <w:t xml:space="preserve"> 指标1：项目实施后一定时期内是否有可持续影响</w:t>
            </w:r>
          </w:p>
        </w:tc>
        <w:tc>
          <w:tcPr>
            <w:tcW w:w="840" w:type="dxa"/>
            <w:tcBorders>
              <w:top w:val="nil"/>
              <w:left w:val="nil"/>
              <w:bottom w:val="single" w:color="auto" w:sz="4" w:space="0"/>
              <w:right w:val="single" w:color="auto" w:sz="4" w:space="0"/>
            </w:tcBorders>
            <w:noWrap w:val="0"/>
            <w:vAlign w:val="center"/>
          </w:tcPr>
          <w:p w14:paraId="75B2B09F">
            <w:pPr>
              <w:rPr>
                <w:rFonts w:ascii="宋体" w:hAnsi="宋体" w:cs="宋体"/>
                <w:sz w:val="20"/>
                <w:szCs w:val="20"/>
              </w:rPr>
            </w:pPr>
            <w:r>
              <w:rPr>
                <w:rFonts w:hint="eastAsia" w:ascii="宋体" w:hAnsi="宋体"/>
                <w:sz w:val="20"/>
                <w:szCs w:val="20"/>
              </w:rPr>
              <w:t>积极拓展法律援助工作，努力维护弱势群体的合法权益，得到了群众的广泛认可</w:t>
            </w:r>
          </w:p>
        </w:tc>
        <w:tc>
          <w:tcPr>
            <w:tcW w:w="840" w:type="dxa"/>
            <w:tcBorders>
              <w:top w:val="nil"/>
              <w:left w:val="nil"/>
              <w:bottom w:val="single" w:color="auto" w:sz="4" w:space="0"/>
              <w:right w:val="single" w:color="auto" w:sz="4" w:space="0"/>
            </w:tcBorders>
            <w:noWrap w:val="0"/>
            <w:vAlign w:val="center"/>
          </w:tcPr>
          <w:p w14:paraId="49028090">
            <w:pPr>
              <w:rPr>
                <w:rFonts w:ascii="宋体" w:hAnsi="宋体" w:cs="宋体"/>
                <w:sz w:val="20"/>
                <w:szCs w:val="20"/>
              </w:rPr>
            </w:pPr>
            <w:r>
              <w:rPr>
                <w:rFonts w:hint="eastAsia" w:ascii="宋体" w:hAnsi="宋体"/>
                <w:sz w:val="20"/>
                <w:szCs w:val="20"/>
              </w:rPr>
              <w:t>积极拓展法律援助工作，努力维护弱势群体的合法权益，得到了群众的广泛认可</w:t>
            </w:r>
          </w:p>
        </w:tc>
      </w:tr>
      <w:tr w14:paraId="7AD8973A">
        <w:tblPrEx>
          <w:tblCellMar>
            <w:top w:w="0" w:type="dxa"/>
            <w:left w:w="108" w:type="dxa"/>
            <w:bottom w:w="0" w:type="dxa"/>
            <w:right w:w="108" w:type="dxa"/>
          </w:tblCellMar>
        </w:tblPrEx>
        <w:trPr>
          <w:trHeight w:val="2059"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7F04AC15">
            <w:pPr>
              <w:rPr>
                <w:rFonts w:ascii="宋体" w:hAnsi="宋体" w:cs="宋体"/>
                <w:sz w:val="20"/>
                <w:szCs w:val="20"/>
              </w:rPr>
            </w:pPr>
          </w:p>
        </w:tc>
        <w:tc>
          <w:tcPr>
            <w:tcW w:w="820" w:type="dxa"/>
            <w:tcBorders>
              <w:top w:val="nil"/>
              <w:left w:val="single" w:color="auto" w:sz="4" w:space="0"/>
              <w:bottom w:val="single" w:color="000000" w:sz="4" w:space="0"/>
              <w:right w:val="single" w:color="auto" w:sz="4" w:space="0"/>
            </w:tcBorders>
            <w:noWrap w:val="0"/>
            <w:vAlign w:val="center"/>
          </w:tcPr>
          <w:p w14:paraId="2D4A7062">
            <w:pPr>
              <w:jc w:val="center"/>
              <w:rPr>
                <w:rFonts w:ascii="宋体" w:hAnsi="宋体" w:cs="宋体"/>
                <w:sz w:val="20"/>
                <w:szCs w:val="20"/>
              </w:rPr>
            </w:pPr>
            <w:r>
              <w:rPr>
                <w:rFonts w:hint="eastAsia"/>
                <w:sz w:val="20"/>
                <w:szCs w:val="20"/>
              </w:rPr>
              <w:t>满意度指标</w:t>
            </w:r>
          </w:p>
        </w:tc>
        <w:tc>
          <w:tcPr>
            <w:tcW w:w="940" w:type="dxa"/>
            <w:tcBorders>
              <w:top w:val="single" w:color="auto" w:sz="4" w:space="0"/>
              <w:left w:val="single" w:color="auto" w:sz="4" w:space="0"/>
              <w:bottom w:val="single" w:color="auto" w:sz="4" w:space="0"/>
              <w:right w:val="single" w:color="auto" w:sz="4" w:space="0"/>
            </w:tcBorders>
            <w:noWrap w:val="0"/>
            <w:vAlign w:val="center"/>
          </w:tcPr>
          <w:p w14:paraId="0A85A12B">
            <w:pPr>
              <w:jc w:val="center"/>
              <w:rPr>
                <w:rFonts w:hint="eastAsia"/>
                <w:sz w:val="20"/>
                <w:szCs w:val="20"/>
              </w:rPr>
            </w:pPr>
            <w:r>
              <w:rPr>
                <w:rFonts w:hint="eastAsia"/>
                <w:sz w:val="20"/>
                <w:szCs w:val="20"/>
              </w:rPr>
              <w:t>服务对象满意度指标</w:t>
            </w:r>
          </w:p>
          <w:p w14:paraId="3FFFF8A4">
            <w:pPr>
              <w:jc w:val="center"/>
              <w:rPr>
                <w:rFonts w:ascii="宋体" w:hAnsi="宋体" w:cs="宋体"/>
                <w:sz w:val="20"/>
                <w:szCs w:val="20"/>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14:paraId="13386E43">
            <w:pPr>
              <w:rPr>
                <w:rFonts w:hint="eastAsia"/>
                <w:sz w:val="20"/>
                <w:szCs w:val="20"/>
              </w:rPr>
            </w:pPr>
            <w:r>
              <w:rPr>
                <w:rFonts w:hint="eastAsia"/>
                <w:sz w:val="20"/>
                <w:szCs w:val="20"/>
              </w:rPr>
              <w:t xml:space="preserve"> 指标1：项目预期服务对象对项目实施的满意程度</w:t>
            </w:r>
          </w:p>
          <w:p w14:paraId="0C11F123">
            <w:pPr>
              <w:rPr>
                <w:rFonts w:ascii="宋体" w:hAnsi="宋体" w:cs="宋体"/>
                <w:sz w:val="20"/>
                <w:szCs w:val="20"/>
              </w:rPr>
            </w:pPr>
            <w:r>
              <w:rPr>
                <w:rFonts w:hint="eastAsia"/>
                <w:sz w:val="20"/>
                <w:szCs w:val="20"/>
              </w:rPr>
              <w:t>　</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44211B2">
            <w:pPr>
              <w:jc w:val="center"/>
              <w:rPr>
                <w:rFonts w:ascii="宋体" w:hAnsi="宋体" w:cs="宋体"/>
                <w:sz w:val="20"/>
                <w:szCs w:val="20"/>
              </w:rPr>
            </w:pPr>
            <w:r>
              <w:rPr>
                <w:rFonts w:hint="eastAsia" w:ascii="宋体" w:hAnsi="宋体" w:cs="宋体"/>
                <w:color w:val="000000"/>
                <w:kern w:val="0"/>
                <w:sz w:val="18"/>
                <w:szCs w:val="18"/>
              </w:rPr>
              <w:t>保障公民在遇到法律问题或者合法权益受到侵害时获得及时有效的法律帮助</w:t>
            </w:r>
            <w:r>
              <w:rPr>
                <w:rFonts w:hint="eastAsia"/>
                <w:sz w:val="20"/>
                <w:szCs w:val="20"/>
              </w:rPr>
              <w:t>　</w:t>
            </w:r>
          </w:p>
          <w:p w14:paraId="59D2E22F">
            <w:pPr>
              <w:jc w:val="center"/>
              <w:rPr>
                <w:rFonts w:ascii="宋体" w:hAnsi="宋体" w:cs="宋体"/>
                <w:sz w:val="20"/>
                <w:szCs w:val="20"/>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786D4057">
            <w:pPr>
              <w:jc w:val="center"/>
              <w:rPr>
                <w:rFonts w:ascii="宋体" w:hAnsi="宋体" w:cs="宋体"/>
                <w:sz w:val="20"/>
                <w:szCs w:val="20"/>
              </w:rPr>
            </w:pPr>
            <w:r>
              <w:rPr>
                <w:rFonts w:hint="eastAsia" w:ascii="宋体" w:hAnsi="宋体" w:cs="宋体"/>
                <w:color w:val="000000"/>
                <w:kern w:val="0"/>
                <w:sz w:val="18"/>
                <w:szCs w:val="18"/>
              </w:rPr>
              <w:t>保障公民在遇到法律问题或者合法权益受到侵害时获得及时有效的法律帮助</w:t>
            </w:r>
            <w:r>
              <w:rPr>
                <w:rFonts w:hint="eastAsia"/>
                <w:sz w:val="20"/>
                <w:szCs w:val="20"/>
              </w:rPr>
              <w:t>　</w:t>
            </w:r>
          </w:p>
          <w:p w14:paraId="6B6A6144">
            <w:pPr>
              <w:jc w:val="center"/>
              <w:rPr>
                <w:rFonts w:ascii="宋体" w:hAnsi="宋体" w:cs="宋体"/>
                <w:sz w:val="20"/>
                <w:szCs w:val="20"/>
              </w:rPr>
            </w:pPr>
            <w:r>
              <w:rPr>
                <w:rFonts w:hint="eastAsia"/>
                <w:sz w:val="20"/>
                <w:szCs w:val="20"/>
              </w:rPr>
              <w:t>　</w:t>
            </w:r>
          </w:p>
        </w:tc>
        <w:tc>
          <w:tcPr>
            <w:tcW w:w="677" w:type="dxa"/>
            <w:tcBorders>
              <w:top w:val="single" w:color="auto" w:sz="4" w:space="0"/>
              <w:left w:val="single" w:color="auto" w:sz="4" w:space="0"/>
              <w:bottom w:val="single" w:color="auto" w:sz="4" w:space="0"/>
              <w:right w:val="single" w:color="auto" w:sz="4" w:space="0"/>
            </w:tcBorders>
            <w:noWrap w:val="0"/>
            <w:vAlign w:val="center"/>
          </w:tcPr>
          <w:p w14:paraId="16F026A0">
            <w:pPr>
              <w:jc w:val="center"/>
              <w:rPr>
                <w:sz w:val="20"/>
                <w:szCs w:val="20"/>
              </w:rPr>
            </w:pPr>
            <w:r>
              <w:rPr>
                <w:rFonts w:hint="eastAsia"/>
                <w:sz w:val="20"/>
                <w:szCs w:val="20"/>
              </w:rPr>
              <w:t>服务对</w:t>
            </w:r>
          </w:p>
          <w:p w14:paraId="437497F1">
            <w:pPr>
              <w:jc w:val="center"/>
              <w:rPr>
                <w:sz w:val="20"/>
                <w:szCs w:val="20"/>
              </w:rPr>
            </w:pPr>
            <w:r>
              <w:rPr>
                <w:rFonts w:hint="eastAsia"/>
                <w:sz w:val="20"/>
                <w:szCs w:val="20"/>
              </w:rPr>
              <w:t>象满意</w:t>
            </w:r>
          </w:p>
          <w:p w14:paraId="6463949E">
            <w:pPr>
              <w:jc w:val="center"/>
              <w:rPr>
                <w:rFonts w:hint="eastAsia"/>
                <w:sz w:val="20"/>
                <w:szCs w:val="20"/>
              </w:rPr>
            </w:pPr>
            <w:r>
              <w:rPr>
                <w:rFonts w:hint="eastAsia"/>
                <w:sz w:val="20"/>
                <w:szCs w:val="20"/>
              </w:rPr>
              <w:t>度指标</w:t>
            </w:r>
          </w:p>
          <w:p w14:paraId="4FE79851">
            <w:pPr>
              <w:jc w:val="center"/>
              <w:rPr>
                <w:rFonts w:ascii="宋体" w:hAnsi="宋体" w:cs="宋体"/>
                <w:sz w:val="20"/>
                <w:szCs w:val="20"/>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6C1E1BA9">
            <w:pPr>
              <w:rPr>
                <w:rFonts w:hint="eastAsia"/>
                <w:sz w:val="20"/>
                <w:szCs w:val="20"/>
              </w:rPr>
            </w:pPr>
            <w:r>
              <w:rPr>
                <w:rFonts w:hint="eastAsia"/>
                <w:sz w:val="20"/>
                <w:szCs w:val="20"/>
              </w:rPr>
              <w:t xml:space="preserve"> 指标1：项目预期服务对象对项目实施的满意程度</w:t>
            </w:r>
          </w:p>
          <w:p w14:paraId="68FA1783">
            <w:pPr>
              <w:rPr>
                <w:rFonts w:ascii="宋体" w:hAnsi="宋体" w:cs="宋体"/>
                <w:sz w:val="20"/>
                <w:szCs w:val="20"/>
              </w:rPr>
            </w:pPr>
            <w:r>
              <w:rPr>
                <w:rFonts w:hint="eastAsia"/>
                <w:sz w:val="20"/>
                <w:szCs w:val="20"/>
              </w:rPr>
              <w:t>　</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063C93C3">
            <w:pPr>
              <w:rPr>
                <w:rFonts w:ascii="宋体" w:hAnsi="宋体" w:cs="宋体"/>
                <w:sz w:val="20"/>
                <w:szCs w:val="20"/>
              </w:rPr>
            </w:pPr>
            <w:r>
              <w:rPr>
                <w:rFonts w:hint="eastAsia" w:ascii="宋体" w:hAnsi="宋体" w:cs="宋体"/>
                <w:color w:val="000000"/>
                <w:kern w:val="0"/>
                <w:sz w:val="18"/>
                <w:szCs w:val="18"/>
              </w:rPr>
              <w:t>保障公民在遇到法律问题或者合法权益受到侵害时获得及时有效的法律帮助</w:t>
            </w:r>
            <w:r>
              <w:rPr>
                <w:rFonts w:hint="eastAsia"/>
                <w:sz w:val="20"/>
                <w:szCs w:val="20"/>
              </w:rPr>
              <w:t>　</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28A4A247">
            <w:pPr>
              <w:rPr>
                <w:rFonts w:ascii="宋体" w:hAnsi="宋体" w:cs="宋体"/>
                <w:sz w:val="20"/>
                <w:szCs w:val="20"/>
              </w:rPr>
            </w:pPr>
            <w:r>
              <w:rPr>
                <w:rFonts w:hint="eastAsia" w:ascii="宋体" w:hAnsi="宋体" w:cs="宋体"/>
                <w:color w:val="000000"/>
                <w:kern w:val="0"/>
                <w:sz w:val="18"/>
                <w:szCs w:val="18"/>
              </w:rPr>
              <w:t>保障公民在遇到法律问题或者合法权益受到侵害时获得及时有效的法律帮助</w:t>
            </w:r>
          </w:p>
        </w:tc>
      </w:tr>
    </w:tbl>
    <w:p w14:paraId="0E02E0C9">
      <w:pPr>
        <w:adjustRightInd w:val="0"/>
        <w:snapToGrid w:val="0"/>
        <w:spacing w:line="600" w:lineRule="exact"/>
        <w:ind w:firstLine="803" w:firstLineChars="250"/>
        <w:rPr>
          <w:rFonts w:hint="eastAsia" w:ascii="仿宋_GB2312" w:hAnsi="楷体" w:eastAsia="仿宋_GB2312" w:cs="Times New Roman"/>
          <w:b/>
          <w:sz w:val="32"/>
          <w:szCs w:val="32"/>
          <w:lang w:val="en-US" w:eastAsia="zh-CN"/>
        </w:rPr>
      </w:pPr>
    </w:p>
    <w:tbl>
      <w:tblPr>
        <w:tblStyle w:val="8"/>
        <w:tblW w:w="9324" w:type="dxa"/>
        <w:tblInd w:w="93" w:type="dxa"/>
        <w:tblLayout w:type="fixed"/>
        <w:tblCellMar>
          <w:top w:w="0" w:type="dxa"/>
          <w:left w:w="108" w:type="dxa"/>
          <w:bottom w:w="0" w:type="dxa"/>
          <w:right w:w="108" w:type="dxa"/>
        </w:tblCellMar>
      </w:tblPr>
      <w:tblGrid>
        <w:gridCol w:w="416"/>
        <w:gridCol w:w="820"/>
        <w:gridCol w:w="940"/>
        <w:gridCol w:w="1523"/>
        <w:gridCol w:w="1200"/>
        <w:gridCol w:w="928"/>
        <w:gridCol w:w="677"/>
        <w:gridCol w:w="1140"/>
        <w:gridCol w:w="840"/>
        <w:gridCol w:w="840"/>
      </w:tblGrid>
      <w:tr w14:paraId="19E80483">
        <w:tblPrEx>
          <w:tblCellMar>
            <w:top w:w="0" w:type="dxa"/>
            <w:left w:w="108" w:type="dxa"/>
            <w:bottom w:w="0" w:type="dxa"/>
            <w:right w:w="108" w:type="dxa"/>
          </w:tblCellMar>
        </w:tblPrEx>
        <w:trPr>
          <w:trHeight w:val="360" w:hRule="atLeast"/>
        </w:trPr>
        <w:tc>
          <w:tcPr>
            <w:tcW w:w="9324" w:type="dxa"/>
            <w:gridSpan w:val="10"/>
            <w:tcBorders>
              <w:top w:val="nil"/>
              <w:left w:val="nil"/>
              <w:bottom w:val="nil"/>
              <w:right w:val="nil"/>
            </w:tcBorders>
            <w:noWrap w:val="0"/>
            <w:vAlign w:val="center"/>
          </w:tcPr>
          <w:p w14:paraId="4843A95D">
            <w:pPr>
              <w:adjustRightInd w:val="0"/>
              <w:snapToGrid w:val="0"/>
              <w:spacing w:line="600" w:lineRule="exact"/>
              <w:ind w:firstLine="803" w:firstLineChars="250"/>
              <w:rPr>
                <w:rFonts w:ascii="仿宋_GB2312" w:hAnsi="楷体" w:eastAsia="仿宋_GB2312"/>
                <w:b/>
                <w:sz w:val="32"/>
                <w:szCs w:val="32"/>
              </w:rPr>
            </w:pPr>
            <w:r>
              <w:rPr>
                <w:rFonts w:hint="eastAsia" w:ascii="仿宋_GB2312" w:hAnsi="楷体" w:eastAsia="仿宋_GB2312"/>
                <w:b/>
                <w:sz w:val="32"/>
                <w:szCs w:val="32"/>
                <w:lang w:val="en-US" w:eastAsia="zh-CN"/>
              </w:rPr>
              <w:t>2</w:t>
            </w:r>
            <w:r>
              <w:rPr>
                <w:rFonts w:hint="eastAsia" w:ascii="仿宋_GB2312" w:hAnsi="楷体" w:eastAsia="仿宋_GB2312"/>
                <w:b/>
                <w:sz w:val="32"/>
                <w:szCs w:val="32"/>
              </w:rPr>
              <w:t>.“</w:t>
            </w:r>
            <w:r>
              <w:rPr>
                <w:rFonts w:hint="eastAsia" w:ascii="仿宋" w:hAnsi="仿宋" w:eastAsia="仿宋"/>
                <w:b/>
                <w:color w:val="000000"/>
                <w:sz w:val="32"/>
                <w:szCs w:val="32"/>
              </w:rPr>
              <w:t>司法行政工作经费</w:t>
            </w:r>
            <w:r>
              <w:rPr>
                <w:rFonts w:hint="eastAsia" w:ascii="仿宋_GB2312" w:hAnsi="楷体" w:eastAsia="仿宋_GB2312"/>
                <w:b/>
                <w:sz w:val="32"/>
                <w:szCs w:val="32"/>
              </w:rPr>
              <w:t>”项目。</w:t>
            </w:r>
          </w:p>
          <w:p w14:paraId="226F770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（1）项目概述。</w:t>
            </w:r>
            <w:r>
              <w:rPr>
                <w:rFonts w:hint="eastAsia" w:ascii="仿宋_GB2312" w:hAnsi="仿宋_GB2312" w:eastAsia="仿宋_GB2312" w:cs="仿宋_GB2312"/>
                <w:sz w:val="32"/>
                <w:szCs w:val="32"/>
                <w:lang w:val="en-US" w:eastAsia="zh-CN"/>
              </w:rPr>
              <w:t>主要包括以下几个方面：</w:t>
            </w:r>
            <w:r>
              <w:rPr>
                <w:rFonts w:hint="eastAsia" w:ascii="仿宋" w:hAnsi="仿宋" w:eastAsia="仿宋"/>
                <w:b w:val="0"/>
                <w:bCs/>
                <w:color w:val="000000"/>
                <w:sz w:val="32"/>
                <w:szCs w:val="32"/>
                <w:lang w:val="en-US" w:eastAsia="zh-CN"/>
              </w:rPr>
              <w:t>1.</w:t>
            </w:r>
            <w:r>
              <w:rPr>
                <w:rFonts w:hint="eastAsia" w:ascii="仿宋_GB2312" w:eastAsia="仿宋_GB2312"/>
                <w:b w:val="0"/>
                <w:bCs/>
                <w:color w:val="000000"/>
                <w:sz w:val="32"/>
                <w:szCs w:val="32"/>
              </w:rPr>
              <w:t>人民调解经费</w:t>
            </w:r>
            <w:r>
              <w:rPr>
                <w:rFonts w:hint="eastAsia" w:ascii="仿宋_GB2312" w:eastAsia="仿宋_GB2312"/>
                <w:b w:val="0"/>
                <w:bCs/>
                <w:color w:val="000000"/>
                <w:sz w:val="32"/>
                <w:szCs w:val="32"/>
                <w:lang w:eastAsia="zh-CN"/>
              </w:rPr>
              <w:t>支出</w:t>
            </w:r>
            <w:r>
              <w:rPr>
                <w:rFonts w:hint="eastAsia" w:ascii="仿宋_GB2312" w:eastAsia="仿宋_GB2312"/>
                <w:b w:val="0"/>
                <w:bCs/>
                <w:color w:val="000000"/>
                <w:sz w:val="32"/>
                <w:szCs w:val="32"/>
              </w:rPr>
              <w:t>。2.安置帮教经费</w:t>
            </w:r>
            <w:r>
              <w:rPr>
                <w:rFonts w:hint="eastAsia" w:ascii="仿宋_GB2312" w:eastAsia="仿宋_GB2312"/>
                <w:b w:val="0"/>
                <w:bCs/>
                <w:color w:val="000000"/>
                <w:sz w:val="32"/>
                <w:szCs w:val="32"/>
                <w:lang w:eastAsia="zh-CN"/>
              </w:rPr>
              <w:t>支出</w:t>
            </w:r>
            <w:r>
              <w:rPr>
                <w:rFonts w:hint="eastAsia" w:ascii="仿宋_GB2312" w:eastAsia="仿宋_GB2312"/>
                <w:b w:val="0"/>
                <w:bCs/>
                <w:color w:val="000000"/>
                <w:sz w:val="32"/>
                <w:szCs w:val="32"/>
              </w:rPr>
              <w:t>。3.律师参与政府工作专项经费</w:t>
            </w:r>
            <w:r>
              <w:rPr>
                <w:rFonts w:hint="eastAsia" w:ascii="仿宋_GB2312" w:eastAsia="仿宋_GB2312"/>
                <w:b w:val="0"/>
                <w:bCs/>
                <w:color w:val="000000"/>
                <w:sz w:val="32"/>
                <w:szCs w:val="32"/>
                <w:lang w:eastAsia="zh-CN"/>
              </w:rPr>
              <w:t>支出</w:t>
            </w:r>
            <w:r>
              <w:rPr>
                <w:rFonts w:hint="eastAsia" w:ascii="仿宋_GB2312" w:eastAsia="仿宋_GB2312"/>
                <w:b w:val="0"/>
                <w:bCs/>
                <w:color w:val="000000"/>
                <w:sz w:val="32"/>
                <w:szCs w:val="32"/>
              </w:rPr>
              <w:t>。4.社区矫正经费</w:t>
            </w:r>
            <w:r>
              <w:rPr>
                <w:rFonts w:hint="eastAsia" w:ascii="仿宋_GB2312" w:eastAsia="仿宋_GB2312"/>
                <w:b w:val="0"/>
                <w:bCs/>
                <w:color w:val="000000"/>
                <w:sz w:val="32"/>
                <w:szCs w:val="32"/>
                <w:lang w:eastAsia="zh-CN"/>
              </w:rPr>
              <w:t>支出</w:t>
            </w:r>
            <w:r>
              <w:rPr>
                <w:rFonts w:hint="eastAsia" w:ascii="仿宋_GB2312" w:eastAsia="仿宋_GB2312"/>
                <w:b w:val="0"/>
                <w:bCs/>
                <w:color w:val="000000"/>
                <w:sz w:val="32"/>
                <w:szCs w:val="32"/>
              </w:rPr>
              <w:t>。</w:t>
            </w:r>
            <w:r>
              <w:rPr>
                <w:rFonts w:hint="eastAsia" w:ascii="仿宋_GB2312" w:eastAsia="仿宋_GB2312"/>
                <w:b w:val="0"/>
                <w:bCs/>
                <w:color w:val="000000"/>
                <w:sz w:val="32"/>
                <w:szCs w:val="32"/>
                <w:lang w:val="en-US" w:eastAsia="zh-CN"/>
              </w:rPr>
              <w:t>5</w:t>
            </w:r>
            <w:r>
              <w:rPr>
                <w:rFonts w:hint="eastAsia" w:ascii="仿宋_GB2312" w:eastAsia="仿宋_GB2312"/>
                <w:b w:val="0"/>
                <w:bCs/>
                <w:color w:val="000000"/>
                <w:sz w:val="32"/>
                <w:szCs w:val="32"/>
              </w:rPr>
              <w:t>.行政复议应诉办案经费</w:t>
            </w:r>
            <w:r>
              <w:rPr>
                <w:rFonts w:hint="eastAsia" w:ascii="仿宋_GB2312" w:eastAsia="仿宋_GB2312"/>
                <w:b w:val="0"/>
                <w:bCs/>
                <w:color w:val="000000"/>
                <w:sz w:val="32"/>
                <w:szCs w:val="32"/>
                <w:lang w:eastAsia="zh-CN"/>
              </w:rPr>
              <w:t>支出</w:t>
            </w:r>
            <w:r>
              <w:rPr>
                <w:rFonts w:hint="eastAsia" w:ascii="仿宋_GB2312" w:eastAsia="仿宋_GB2312"/>
                <w:b w:val="0"/>
                <w:bCs/>
                <w:color w:val="000000"/>
                <w:sz w:val="32"/>
                <w:szCs w:val="32"/>
              </w:rPr>
              <w:t>。</w:t>
            </w:r>
            <w:r>
              <w:rPr>
                <w:rFonts w:hint="eastAsia" w:ascii="仿宋_GB2312" w:eastAsia="仿宋_GB2312"/>
                <w:b w:val="0"/>
                <w:bCs/>
                <w:color w:val="000000"/>
                <w:sz w:val="32"/>
                <w:szCs w:val="32"/>
                <w:lang w:val="en-US" w:eastAsia="zh-CN"/>
              </w:rPr>
              <w:t>6</w:t>
            </w:r>
            <w:r>
              <w:rPr>
                <w:rFonts w:hint="eastAsia" w:ascii="仿宋_GB2312" w:eastAsia="仿宋_GB2312"/>
                <w:b w:val="0"/>
                <w:bCs/>
                <w:color w:val="000000"/>
                <w:sz w:val="32"/>
                <w:szCs w:val="32"/>
              </w:rPr>
              <w:t>.行政执法监督</w:t>
            </w:r>
            <w:r>
              <w:rPr>
                <w:rFonts w:hint="eastAsia" w:ascii="仿宋_GB2312" w:eastAsia="仿宋_GB2312"/>
                <w:b w:val="0"/>
                <w:bCs/>
                <w:color w:val="000000"/>
                <w:sz w:val="32"/>
                <w:szCs w:val="32"/>
                <w:lang w:eastAsia="zh-CN"/>
              </w:rPr>
              <w:t>支出</w:t>
            </w:r>
            <w:r>
              <w:rPr>
                <w:rFonts w:hint="eastAsia" w:ascii="仿宋_GB2312" w:eastAsia="仿宋_GB2312"/>
                <w:b w:val="0"/>
                <w:bCs/>
                <w:color w:val="000000"/>
                <w:sz w:val="32"/>
                <w:szCs w:val="32"/>
              </w:rPr>
              <w:t>。</w:t>
            </w:r>
            <w:r>
              <w:rPr>
                <w:rFonts w:hint="eastAsia" w:ascii="仿宋_GB2312" w:eastAsia="仿宋_GB2312"/>
                <w:b w:val="0"/>
                <w:bCs/>
                <w:color w:val="000000"/>
                <w:sz w:val="32"/>
                <w:szCs w:val="32"/>
                <w:lang w:val="en-US" w:eastAsia="zh-CN"/>
              </w:rPr>
              <w:t>7</w:t>
            </w:r>
            <w:r>
              <w:rPr>
                <w:rFonts w:hint="eastAsia" w:ascii="仿宋_GB2312" w:eastAsia="仿宋_GB2312"/>
                <w:b w:val="0"/>
                <w:bCs/>
                <w:color w:val="000000"/>
                <w:sz w:val="32"/>
                <w:szCs w:val="32"/>
              </w:rPr>
              <w:t>.立法经费</w:t>
            </w:r>
            <w:r>
              <w:rPr>
                <w:rFonts w:hint="eastAsia" w:ascii="仿宋_GB2312" w:eastAsia="仿宋_GB2312"/>
                <w:b w:val="0"/>
                <w:bCs/>
                <w:color w:val="000000"/>
                <w:sz w:val="32"/>
                <w:szCs w:val="32"/>
                <w:lang w:eastAsia="zh-CN"/>
              </w:rPr>
              <w:t>支出。</w:t>
            </w:r>
            <w:r>
              <w:rPr>
                <w:rFonts w:hint="eastAsia" w:ascii="仿宋_GB2312" w:eastAsia="仿宋_GB2312"/>
                <w:b w:val="0"/>
                <w:bCs/>
                <w:color w:val="000000"/>
                <w:sz w:val="32"/>
                <w:szCs w:val="32"/>
                <w:lang w:val="en-US" w:eastAsia="zh-CN"/>
              </w:rPr>
              <w:t>8.合法性审查经费支出。</w:t>
            </w:r>
          </w:p>
          <w:p w14:paraId="090B41B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（2）立项依据。</w:t>
            </w:r>
            <w:r>
              <w:rPr>
                <w:rFonts w:hint="eastAsia" w:ascii="仿宋" w:hAnsi="仿宋" w:eastAsia="仿宋"/>
                <w:color w:val="000000"/>
                <w:sz w:val="32"/>
                <w:szCs w:val="32"/>
              </w:rPr>
              <w:t>省委办公厅《关于开展社区矫正工作的实施意见》；《全国人民代表大会常务委员会关于司法鉴定管理问题的决定》；国家综治委、财政部第8部委《关于进一步做好刑满释放、解除劳教人员就业和社会保障工作的意见》；安徽省人民监督员选任管理方式改革试点工作实施方案；中央政法委《关于建立律师参与化解和代理涉法涉诉信访案件制度的意见》；《人民调解委员会组织条例》</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市依法行政工作领导小组会议纪要第1号</w:t>
            </w:r>
            <w:r>
              <w:rPr>
                <w:rFonts w:hint="eastAsia" w:ascii="仿宋" w:hAnsi="仿宋" w:eastAsia="仿宋"/>
                <w:color w:val="000000"/>
                <w:sz w:val="32"/>
                <w:szCs w:val="32"/>
                <w:lang w:eastAsia="zh-CN"/>
              </w:rPr>
              <w:t>。</w:t>
            </w:r>
          </w:p>
          <w:p w14:paraId="643D4CDE">
            <w:pPr>
              <w:adjustRightInd w:val="0"/>
              <w:snapToGrid w:val="0"/>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（3）实施主体：淮北市</w:t>
            </w:r>
            <w:r>
              <w:rPr>
                <w:rFonts w:hint="eastAsia" w:ascii="仿宋_GB2312" w:hAnsi="仿宋_GB2312" w:eastAsia="仿宋_GB2312" w:cs="仿宋_GB2312"/>
                <w:sz w:val="32"/>
                <w:szCs w:val="32"/>
                <w:lang w:val="en-US" w:eastAsia="zh-CN"/>
              </w:rPr>
              <w:t>司法局</w:t>
            </w:r>
          </w:p>
          <w:p w14:paraId="2860AE00">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（4）起止时间。202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年1月-202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年12月</w:t>
            </w:r>
          </w:p>
          <w:p w14:paraId="324342D8">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（5）项目内容。</w:t>
            </w:r>
            <w:r>
              <w:rPr>
                <w:rFonts w:hint="eastAsia" w:ascii="仿宋" w:hAnsi="仿宋" w:eastAsia="仿宋"/>
                <w:b w:val="0"/>
                <w:bCs/>
                <w:color w:val="000000"/>
                <w:sz w:val="32"/>
                <w:szCs w:val="32"/>
                <w:lang w:val="en-US" w:eastAsia="zh-CN"/>
              </w:rPr>
              <w:t>1.</w:t>
            </w:r>
            <w:r>
              <w:rPr>
                <w:rFonts w:hint="eastAsia" w:ascii="仿宋_GB2312" w:eastAsia="仿宋_GB2312"/>
                <w:b w:val="0"/>
                <w:bCs/>
                <w:color w:val="000000"/>
                <w:sz w:val="32"/>
                <w:szCs w:val="32"/>
              </w:rPr>
              <w:t>人民调解经费</w:t>
            </w:r>
            <w:r>
              <w:rPr>
                <w:rFonts w:hint="eastAsia" w:ascii="仿宋_GB2312" w:eastAsia="仿宋_GB2312"/>
                <w:b w:val="0"/>
                <w:bCs/>
                <w:color w:val="000000"/>
                <w:sz w:val="32"/>
                <w:szCs w:val="32"/>
                <w:lang w:eastAsia="zh-CN"/>
              </w:rPr>
              <w:t>支出</w:t>
            </w:r>
            <w:r>
              <w:rPr>
                <w:rFonts w:hint="eastAsia" w:ascii="仿宋_GB2312" w:eastAsia="仿宋_GB2312"/>
                <w:b w:val="0"/>
                <w:bCs/>
                <w:color w:val="000000"/>
                <w:sz w:val="32"/>
                <w:szCs w:val="32"/>
              </w:rPr>
              <w:t>。</w:t>
            </w:r>
            <w:r>
              <w:rPr>
                <w:rFonts w:hint="eastAsia" w:ascii="仿宋_GB2312" w:eastAsia="仿宋_GB2312"/>
                <w:b w:val="0"/>
                <w:bCs/>
                <w:color w:val="000000"/>
                <w:sz w:val="32"/>
                <w:szCs w:val="32"/>
                <w:lang w:eastAsia="zh-CN"/>
              </w:rPr>
              <w:t>主要用于</w:t>
            </w:r>
            <w:r>
              <w:rPr>
                <w:rFonts w:hint="eastAsia" w:ascii="仿宋_GB2312" w:eastAsia="仿宋_GB2312"/>
                <w:color w:val="000000"/>
                <w:sz w:val="32"/>
                <w:szCs w:val="32"/>
              </w:rPr>
              <w:t>信访纠纷调解委员会和市医疗纠纷调解委员</w:t>
            </w:r>
            <w:r>
              <w:rPr>
                <w:rFonts w:hint="eastAsia" w:ascii="仿宋_GB2312" w:eastAsia="仿宋_GB2312"/>
                <w:color w:val="000000"/>
                <w:sz w:val="32"/>
                <w:szCs w:val="32"/>
                <w:lang w:val="en-US" w:eastAsia="zh-CN"/>
              </w:rPr>
              <w:t>6名</w:t>
            </w:r>
            <w:r>
              <w:rPr>
                <w:rFonts w:hint="eastAsia" w:ascii="仿宋_GB2312" w:eastAsia="仿宋_GB2312"/>
                <w:color w:val="000000"/>
                <w:sz w:val="32"/>
                <w:szCs w:val="32"/>
              </w:rPr>
              <w:t>聘用人员工资</w:t>
            </w:r>
            <w:r>
              <w:rPr>
                <w:rFonts w:hint="eastAsia" w:ascii="仿宋_GB2312" w:eastAsia="仿宋_GB2312"/>
                <w:color w:val="000000"/>
                <w:sz w:val="32"/>
                <w:szCs w:val="32"/>
                <w:lang w:eastAsia="zh-CN"/>
              </w:rPr>
              <w:t>和案件补贴、</w:t>
            </w:r>
            <w:r>
              <w:rPr>
                <w:rFonts w:hint="eastAsia" w:ascii="仿宋_GB2312" w:eastAsia="仿宋_GB2312"/>
                <w:color w:val="000000"/>
                <w:sz w:val="32"/>
                <w:szCs w:val="32"/>
              </w:rPr>
              <w:t>专家论证</w:t>
            </w:r>
            <w:r>
              <w:rPr>
                <w:rFonts w:hint="eastAsia" w:ascii="仿宋_GB2312" w:eastAsia="仿宋_GB2312"/>
                <w:color w:val="000000"/>
                <w:sz w:val="32"/>
                <w:szCs w:val="32"/>
                <w:lang w:eastAsia="zh-CN"/>
              </w:rPr>
              <w:t>以和</w:t>
            </w:r>
            <w:r>
              <w:rPr>
                <w:rFonts w:hint="eastAsia" w:ascii="仿宋_GB2312" w:eastAsia="仿宋_GB2312"/>
                <w:color w:val="000000"/>
                <w:sz w:val="32"/>
                <w:szCs w:val="32"/>
              </w:rPr>
              <w:t>办公费</w:t>
            </w:r>
            <w:r>
              <w:rPr>
                <w:rFonts w:hint="eastAsia" w:ascii="仿宋_GB2312" w:eastAsia="仿宋_GB2312"/>
                <w:color w:val="000000"/>
                <w:sz w:val="32"/>
                <w:szCs w:val="32"/>
                <w:lang w:eastAsia="zh-CN"/>
              </w:rPr>
              <w:t>以及全市</w:t>
            </w:r>
            <w:r>
              <w:rPr>
                <w:rFonts w:hint="eastAsia" w:ascii="仿宋_GB2312" w:eastAsia="仿宋_GB2312"/>
                <w:color w:val="000000"/>
                <w:sz w:val="32"/>
                <w:szCs w:val="32"/>
              </w:rPr>
              <w:t>人民调解员培训和人民调解宣传</w:t>
            </w:r>
            <w:r>
              <w:rPr>
                <w:rFonts w:hint="eastAsia" w:ascii="仿宋_GB2312" w:eastAsia="仿宋_GB2312"/>
                <w:color w:val="000000"/>
                <w:sz w:val="32"/>
                <w:szCs w:val="32"/>
                <w:lang w:eastAsia="zh-CN"/>
              </w:rPr>
              <w:t>、</w:t>
            </w:r>
            <w:r>
              <w:rPr>
                <w:rFonts w:hint="eastAsia" w:ascii="仿宋_GB2312" w:eastAsia="仿宋_GB2312"/>
                <w:color w:val="000000"/>
                <w:sz w:val="32"/>
                <w:szCs w:val="32"/>
              </w:rPr>
              <w:t>人民监督员和人民陪审员管理培训</w:t>
            </w:r>
            <w:r>
              <w:rPr>
                <w:rFonts w:hint="eastAsia" w:ascii="仿宋_GB2312" w:eastAsia="仿宋_GB2312"/>
                <w:color w:val="000000"/>
                <w:sz w:val="32"/>
                <w:szCs w:val="32"/>
                <w:lang w:eastAsia="zh-CN"/>
              </w:rPr>
              <w:t>等</w:t>
            </w:r>
            <w:r>
              <w:rPr>
                <w:rFonts w:hint="eastAsia" w:ascii="仿宋_GB2312" w:eastAsia="仿宋_GB2312"/>
                <w:color w:val="000000"/>
                <w:sz w:val="32"/>
                <w:szCs w:val="32"/>
              </w:rPr>
              <w:t>费</w:t>
            </w:r>
            <w:r>
              <w:rPr>
                <w:rFonts w:hint="eastAsia" w:ascii="仿宋_GB2312" w:eastAsia="仿宋_GB2312"/>
                <w:color w:val="000000"/>
                <w:sz w:val="32"/>
                <w:szCs w:val="32"/>
                <w:lang w:eastAsia="zh-CN"/>
              </w:rPr>
              <w:t>用约</w:t>
            </w:r>
            <w:r>
              <w:rPr>
                <w:rFonts w:hint="eastAsia" w:ascii="仿宋_GB2312" w:eastAsia="仿宋_GB2312"/>
                <w:color w:val="000000"/>
                <w:sz w:val="32"/>
                <w:szCs w:val="32"/>
                <w:lang w:val="en-US" w:eastAsia="zh-CN"/>
              </w:rPr>
              <w:t>20万元</w:t>
            </w:r>
            <w:r>
              <w:rPr>
                <w:rFonts w:hint="eastAsia" w:ascii="仿宋_GB2312" w:eastAsia="仿宋_GB2312"/>
                <w:color w:val="000000"/>
                <w:sz w:val="32"/>
                <w:szCs w:val="32"/>
                <w:lang w:eastAsia="zh-CN"/>
              </w:rPr>
              <w:t>。</w:t>
            </w:r>
            <w:r>
              <w:rPr>
                <w:rFonts w:hint="eastAsia" w:ascii="仿宋_GB2312" w:eastAsia="仿宋_GB2312"/>
                <w:b w:val="0"/>
                <w:bCs/>
                <w:color w:val="000000"/>
                <w:sz w:val="32"/>
                <w:szCs w:val="32"/>
              </w:rPr>
              <w:t>2.安置帮教经费</w:t>
            </w:r>
            <w:r>
              <w:rPr>
                <w:rFonts w:hint="eastAsia" w:ascii="仿宋_GB2312" w:eastAsia="仿宋_GB2312"/>
                <w:b w:val="0"/>
                <w:bCs/>
                <w:color w:val="000000"/>
                <w:sz w:val="32"/>
                <w:szCs w:val="32"/>
                <w:lang w:eastAsia="zh-CN"/>
              </w:rPr>
              <w:t>支出</w:t>
            </w:r>
            <w:r>
              <w:rPr>
                <w:rFonts w:hint="eastAsia" w:ascii="仿宋_GB2312" w:eastAsia="仿宋_GB2312"/>
                <w:b w:val="0"/>
                <w:bCs/>
                <w:color w:val="000000"/>
                <w:sz w:val="32"/>
                <w:szCs w:val="32"/>
              </w:rPr>
              <w:t>。</w:t>
            </w:r>
            <w:r>
              <w:rPr>
                <w:rFonts w:hint="eastAsia" w:ascii="仿宋_GB2312" w:eastAsia="仿宋_GB2312"/>
                <w:color w:val="000000"/>
                <w:sz w:val="32"/>
                <w:szCs w:val="32"/>
              </w:rPr>
              <w:t>包括服刑人员困难家庭帮扶、刑满释放人员必接必送、监狱服刑人员帮扶等</w:t>
            </w:r>
            <w:r>
              <w:rPr>
                <w:rFonts w:hint="eastAsia" w:ascii="仿宋_GB2312" w:eastAsia="仿宋_GB2312"/>
                <w:color w:val="000000"/>
                <w:sz w:val="32"/>
                <w:szCs w:val="32"/>
                <w:lang w:eastAsia="zh-CN"/>
              </w:rPr>
              <w:t>费用约</w:t>
            </w:r>
            <w:r>
              <w:rPr>
                <w:rFonts w:hint="eastAsia" w:ascii="仿宋_GB2312" w:eastAsia="仿宋_GB2312"/>
                <w:color w:val="000000"/>
                <w:sz w:val="32"/>
                <w:szCs w:val="32"/>
                <w:lang w:val="en-US" w:eastAsia="zh-CN"/>
              </w:rPr>
              <w:t>1万元</w:t>
            </w:r>
            <w:r>
              <w:rPr>
                <w:rFonts w:hint="eastAsia" w:ascii="仿宋_GB2312" w:eastAsia="仿宋_GB2312"/>
                <w:color w:val="000000"/>
                <w:sz w:val="32"/>
                <w:szCs w:val="32"/>
              </w:rPr>
              <w:t>。</w:t>
            </w:r>
            <w:r>
              <w:rPr>
                <w:rFonts w:hint="eastAsia" w:ascii="仿宋_GB2312" w:eastAsia="仿宋_GB2312"/>
                <w:b w:val="0"/>
                <w:bCs/>
                <w:color w:val="000000"/>
                <w:sz w:val="32"/>
                <w:szCs w:val="32"/>
              </w:rPr>
              <w:t>3.律师参与政府工作专项经费</w:t>
            </w:r>
            <w:r>
              <w:rPr>
                <w:rFonts w:hint="eastAsia" w:ascii="仿宋_GB2312" w:eastAsia="仿宋_GB2312"/>
                <w:b w:val="0"/>
                <w:bCs/>
                <w:color w:val="000000"/>
                <w:sz w:val="32"/>
                <w:szCs w:val="32"/>
                <w:lang w:eastAsia="zh-CN"/>
              </w:rPr>
              <w:t>支出</w:t>
            </w:r>
            <w:r>
              <w:rPr>
                <w:rFonts w:hint="eastAsia" w:ascii="仿宋_GB2312" w:eastAsia="仿宋_GB2312"/>
                <w:b w:val="0"/>
                <w:bCs/>
                <w:color w:val="000000"/>
                <w:sz w:val="32"/>
                <w:szCs w:val="32"/>
              </w:rPr>
              <w:t>。</w:t>
            </w:r>
            <w:r>
              <w:rPr>
                <w:rFonts w:hint="eastAsia" w:ascii="仿宋_GB2312" w:eastAsia="仿宋_GB2312"/>
                <w:b w:val="0"/>
                <w:bCs/>
                <w:color w:val="000000"/>
                <w:sz w:val="32"/>
                <w:szCs w:val="32"/>
                <w:lang w:eastAsia="zh-CN"/>
              </w:rPr>
              <w:t>包括</w:t>
            </w:r>
            <w:r>
              <w:rPr>
                <w:rFonts w:hint="eastAsia" w:ascii="仿宋_GB2312" w:hAnsi="黑体" w:eastAsia="仿宋_GB2312"/>
                <w:b w:val="0"/>
                <w:bCs/>
                <w:color w:val="000000"/>
                <w:sz w:val="32"/>
                <w:szCs w:val="32"/>
              </w:rPr>
              <w:t>律师参与化解和代理涉法涉诉信访案件（陪同市领导接访）经费</w:t>
            </w:r>
            <w:r>
              <w:rPr>
                <w:rFonts w:hint="eastAsia" w:ascii="仿宋_GB2312" w:hAnsi="黑体" w:eastAsia="仿宋_GB2312"/>
                <w:b w:val="0"/>
                <w:bCs/>
                <w:color w:val="000000"/>
                <w:sz w:val="32"/>
                <w:szCs w:val="32"/>
                <w:lang w:eastAsia="zh-CN"/>
              </w:rPr>
              <w:t>、</w:t>
            </w:r>
            <w:r>
              <w:rPr>
                <w:rFonts w:hint="eastAsia" w:ascii="仿宋_GB2312" w:hAnsi="黑体" w:eastAsia="仿宋_GB2312"/>
                <w:b w:val="0"/>
                <w:bCs/>
                <w:color w:val="000000"/>
                <w:sz w:val="32"/>
                <w:szCs w:val="32"/>
              </w:rPr>
              <w:t>律师以案释法经费（陪同市领导参加《法在身边》直播栏目）</w:t>
            </w:r>
            <w:r>
              <w:rPr>
                <w:rFonts w:hint="eastAsia" w:ascii="仿宋_GB2312" w:eastAsia="仿宋_GB2312"/>
                <w:b w:val="0"/>
                <w:bCs/>
                <w:color w:val="000000"/>
                <w:sz w:val="32"/>
                <w:szCs w:val="32"/>
              </w:rPr>
              <w:t>经费</w:t>
            </w:r>
            <w:r>
              <w:rPr>
                <w:rFonts w:hint="eastAsia" w:ascii="仿宋_GB2312" w:eastAsia="仿宋_GB2312"/>
                <w:b w:val="0"/>
                <w:bCs/>
                <w:color w:val="000000"/>
                <w:sz w:val="32"/>
                <w:szCs w:val="32"/>
                <w:lang w:eastAsia="zh-CN"/>
              </w:rPr>
              <w:t>，共</w:t>
            </w:r>
            <w:r>
              <w:rPr>
                <w:rFonts w:hint="eastAsia" w:ascii="仿宋_GB2312" w:eastAsia="仿宋_GB2312"/>
                <w:b w:val="0"/>
                <w:bCs/>
                <w:color w:val="000000"/>
                <w:sz w:val="32"/>
                <w:szCs w:val="32"/>
                <w:lang w:val="en-US" w:eastAsia="zh-CN"/>
              </w:rPr>
              <w:t>3</w:t>
            </w:r>
            <w:r>
              <w:rPr>
                <w:rFonts w:hint="eastAsia" w:ascii="仿宋_GB2312" w:eastAsia="仿宋_GB2312"/>
                <w:b w:val="0"/>
                <w:bCs/>
                <w:color w:val="000000"/>
                <w:sz w:val="32"/>
                <w:szCs w:val="32"/>
              </w:rPr>
              <w:t>万元。4.社区矫正经费</w:t>
            </w:r>
            <w:r>
              <w:rPr>
                <w:rFonts w:hint="eastAsia" w:ascii="仿宋_GB2312" w:eastAsia="仿宋_GB2312"/>
                <w:b w:val="0"/>
                <w:bCs/>
                <w:color w:val="000000"/>
                <w:sz w:val="32"/>
                <w:szCs w:val="32"/>
                <w:lang w:eastAsia="zh-CN"/>
              </w:rPr>
              <w:t>支出</w:t>
            </w:r>
            <w:r>
              <w:rPr>
                <w:rFonts w:hint="eastAsia" w:ascii="仿宋_GB2312" w:eastAsia="仿宋_GB2312"/>
                <w:b w:val="0"/>
                <w:bCs/>
                <w:color w:val="000000"/>
                <w:sz w:val="32"/>
                <w:szCs w:val="32"/>
              </w:rPr>
              <w:t>。</w:t>
            </w:r>
            <w:r>
              <w:rPr>
                <w:rFonts w:hint="eastAsia" w:ascii="仿宋_GB2312" w:eastAsia="仿宋_GB2312"/>
                <w:b w:val="0"/>
                <w:bCs/>
                <w:color w:val="000000"/>
                <w:sz w:val="32"/>
                <w:szCs w:val="32"/>
                <w:lang w:eastAsia="zh-CN"/>
              </w:rPr>
              <w:t>主要用于</w:t>
            </w:r>
            <w:r>
              <w:rPr>
                <w:rFonts w:hint="eastAsia" w:ascii="仿宋_GB2312" w:hAnsi="黑体" w:eastAsia="仿宋_GB2312"/>
                <w:color w:val="000000"/>
                <w:sz w:val="32"/>
                <w:szCs w:val="32"/>
              </w:rPr>
              <w:t>《社区矫正法》宣传</w:t>
            </w:r>
            <w:r>
              <w:rPr>
                <w:rFonts w:hint="eastAsia" w:ascii="仿宋_GB2312" w:eastAsia="仿宋_GB2312"/>
                <w:color w:val="000000"/>
                <w:sz w:val="32"/>
                <w:szCs w:val="32"/>
              </w:rPr>
              <w:t>、社区矫正对象职业技能培训及教育</w:t>
            </w:r>
            <w:r>
              <w:rPr>
                <w:rFonts w:hint="eastAsia" w:ascii="仿宋_GB2312" w:eastAsia="仿宋_GB2312"/>
                <w:color w:val="000000"/>
                <w:sz w:val="32"/>
                <w:szCs w:val="32"/>
                <w:lang w:eastAsia="zh-CN"/>
              </w:rPr>
              <w:t>，</w:t>
            </w:r>
            <w:r>
              <w:rPr>
                <w:rFonts w:hint="eastAsia" w:ascii="仿宋_GB2312" w:eastAsia="仿宋_GB2312"/>
                <w:color w:val="000000"/>
                <w:sz w:val="32"/>
                <w:szCs w:val="32"/>
              </w:rPr>
              <w:t>社区矫正业务培训、先进表彰</w:t>
            </w:r>
            <w:r>
              <w:rPr>
                <w:rFonts w:hint="eastAsia" w:ascii="仿宋_GB2312" w:eastAsia="仿宋_GB2312"/>
                <w:color w:val="000000"/>
                <w:sz w:val="32"/>
                <w:szCs w:val="32"/>
                <w:lang w:eastAsia="zh-CN"/>
              </w:rPr>
              <w:t>等约</w:t>
            </w:r>
            <w:r>
              <w:rPr>
                <w:rFonts w:hint="eastAsia" w:ascii="仿宋_GB2312" w:eastAsia="仿宋_GB2312"/>
                <w:color w:val="000000"/>
                <w:sz w:val="32"/>
                <w:szCs w:val="32"/>
                <w:lang w:val="en-US" w:eastAsia="zh-CN"/>
              </w:rPr>
              <w:t>2万元</w:t>
            </w:r>
            <w:r>
              <w:rPr>
                <w:rFonts w:hint="eastAsia" w:ascii="仿宋_GB2312" w:eastAsia="仿宋_GB2312"/>
                <w:color w:val="000000"/>
                <w:sz w:val="32"/>
                <w:szCs w:val="32"/>
              </w:rPr>
              <w:t>。</w:t>
            </w:r>
            <w:r>
              <w:rPr>
                <w:rFonts w:hint="eastAsia" w:ascii="仿宋_GB2312" w:eastAsia="仿宋_GB2312"/>
                <w:b w:val="0"/>
                <w:bCs/>
                <w:color w:val="000000"/>
                <w:sz w:val="32"/>
                <w:szCs w:val="32"/>
                <w:lang w:val="en-US" w:eastAsia="zh-CN"/>
              </w:rPr>
              <w:t>5</w:t>
            </w:r>
            <w:r>
              <w:rPr>
                <w:rFonts w:hint="eastAsia" w:ascii="仿宋_GB2312" w:eastAsia="仿宋_GB2312"/>
                <w:b w:val="0"/>
                <w:bCs/>
                <w:color w:val="000000"/>
                <w:sz w:val="32"/>
                <w:szCs w:val="32"/>
              </w:rPr>
              <w:t>.行政复议应诉办案经费</w:t>
            </w:r>
            <w:r>
              <w:rPr>
                <w:rFonts w:hint="eastAsia" w:ascii="仿宋_GB2312" w:eastAsia="仿宋_GB2312"/>
                <w:b w:val="0"/>
                <w:bCs/>
                <w:color w:val="000000"/>
                <w:sz w:val="32"/>
                <w:szCs w:val="32"/>
                <w:lang w:eastAsia="zh-CN"/>
              </w:rPr>
              <w:t>支出</w:t>
            </w:r>
            <w:r>
              <w:rPr>
                <w:rFonts w:hint="eastAsia" w:ascii="仿宋_GB2312" w:eastAsia="仿宋_GB2312"/>
                <w:b w:val="0"/>
                <w:bCs/>
                <w:color w:val="000000"/>
                <w:sz w:val="32"/>
                <w:szCs w:val="32"/>
              </w:rPr>
              <w:t>。包括行政复议应诉办案费、业务培训费、专家论证费、应诉案件律师代理费</w:t>
            </w:r>
            <w:r>
              <w:rPr>
                <w:rFonts w:hint="eastAsia" w:ascii="仿宋_GB2312" w:eastAsia="仿宋_GB2312"/>
                <w:b w:val="0"/>
                <w:bCs/>
                <w:color w:val="000000"/>
                <w:sz w:val="32"/>
                <w:szCs w:val="32"/>
                <w:lang w:eastAsia="zh-CN"/>
              </w:rPr>
              <w:t>，共</w:t>
            </w:r>
            <w:r>
              <w:rPr>
                <w:rFonts w:hint="eastAsia" w:ascii="仿宋_GB2312" w:eastAsia="仿宋_GB2312"/>
                <w:b w:val="0"/>
                <w:bCs/>
                <w:color w:val="000000"/>
                <w:sz w:val="32"/>
                <w:szCs w:val="32"/>
                <w:lang w:val="en-US" w:eastAsia="zh-CN"/>
              </w:rPr>
              <w:t>4.5</w:t>
            </w:r>
            <w:r>
              <w:rPr>
                <w:rFonts w:hint="eastAsia" w:ascii="仿宋_GB2312" w:eastAsia="仿宋_GB2312"/>
                <w:b w:val="0"/>
                <w:bCs/>
                <w:color w:val="000000"/>
                <w:sz w:val="32"/>
                <w:szCs w:val="32"/>
              </w:rPr>
              <w:t>万元。</w:t>
            </w:r>
            <w:r>
              <w:rPr>
                <w:rFonts w:hint="eastAsia" w:ascii="仿宋_GB2312" w:eastAsia="仿宋_GB2312"/>
                <w:b w:val="0"/>
                <w:bCs/>
                <w:color w:val="000000"/>
                <w:sz w:val="32"/>
                <w:szCs w:val="32"/>
                <w:lang w:val="en-US" w:eastAsia="zh-CN"/>
              </w:rPr>
              <w:t>6</w:t>
            </w:r>
            <w:r>
              <w:rPr>
                <w:rFonts w:hint="eastAsia" w:ascii="仿宋_GB2312" w:eastAsia="仿宋_GB2312"/>
                <w:b w:val="0"/>
                <w:bCs/>
                <w:color w:val="000000"/>
                <w:sz w:val="32"/>
                <w:szCs w:val="32"/>
              </w:rPr>
              <w:t>.行政执法监督</w:t>
            </w:r>
            <w:r>
              <w:rPr>
                <w:rFonts w:hint="eastAsia" w:ascii="仿宋_GB2312" w:eastAsia="仿宋_GB2312"/>
                <w:b w:val="0"/>
                <w:bCs/>
                <w:color w:val="000000"/>
                <w:sz w:val="32"/>
                <w:szCs w:val="32"/>
                <w:lang w:eastAsia="zh-CN"/>
              </w:rPr>
              <w:t>支出</w:t>
            </w:r>
            <w:r>
              <w:rPr>
                <w:rFonts w:hint="eastAsia" w:ascii="仿宋_GB2312" w:eastAsia="仿宋_GB2312"/>
                <w:b w:val="0"/>
                <w:bCs/>
                <w:color w:val="000000"/>
                <w:sz w:val="32"/>
                <w:szCs w:val="32"/>
              </w:rPr>
              <w:t>。</w:t>
            </w:r>
            <w:r>
              <w:rPr>
                <w:rFonts w:hint="eastAsia" w:ascii="仿宋_GB2312" w:eastAsia="仿宋_GB2312"/>
                <w:b w:val="0"/>
                <w:bCs/>
                <w:color w:val="000000"/>
                <w:sz w:val="32"/>
                <w:szCs w:val="32"/>
                <w:lang w:eastAsia="zh-CN"/>
              </w:rPr>
              <w:t>主要用于</w:t>
            </w:r>
            <w:r>
              <w:rPr>
                <w:rFonts w:hint="eastAsia" w:ascii="仿宋_GB2312" w:eastAsia="仿宋_GB2312"/>
                <w:b w:val="0"/>
                <w:bCs/>
                <w:color w:val="000000"/>
                <w:sz w:val="32"/>
                <w:szCs w:val="32"/>
              </w:rPr>
              <w:t>行政执法人员资格认证通用法律知识考试考务</w:t>
            </w:r>
            <w:r>
              <w:rPr>
                <w:rFonts w:hint="eastAsia" w:ascii="仿宋_GB2312" w:eastAsia="仿宋_GB2312"/>
                <w:b w:val="0"/>
                <w:bCs/>
                <w:color w:val="000000"/>
                <w:sz w:val="32"/>
                <w:szCs w:val="32"/>
                <w:lang w:eastAsia="zh-CN"/>
              </w:rPr>
              <w:t>支出，共</w:t>
            </w:r>
            <w:r>
              <w:rPr>
                <w:rFonts w:hint="eastAsia" w:ascii="仿宋_GB2312" w:eastAsia="仿宋_GB2312"/>
                <w:b w:val="0"/>
                <w:bCs/>
                <w:color w:val="000000"/>
                <w:sz w:val="32"/>
                <w:szCs w:val="32"/>
                <w:lang w:val="en-US" w:eastAsia="zh-CN"/>
              </w:rPr>
              <w:t>1.5</w:t>
            </w:r>
            <w:r>
              <w:rPr>
                <w:rFonts w:hint="eastAsia" w:ascii="仿宋_GB2312" w:eastAsia="仿宋_GB2312"/>
                <w:b w:val="0"/>
                <w:bCs/>
                <w:color w:val="000000"/>
                <w:sz w:val="32"/>
                <w:szCs w:val="32"/>
              </w:rPr>
              <w:t>万元。</w:t>
            </w:r>
            <w:r>
              <w:rPr>
                <w:rFonts w:hint="eastAsia" w:ascii="仿宋_GB2312" w:eastAsia="仿宋_GB2312"/>
                <w:b w:val="0"/>
                <w:bCs/>
                <w:color w:val="000000"/>
                <w:sz w:val="32"/>
                <w:szCs w:val="32"/>
                <w:lang w:val="en-US" w:eastAsia="zh-CN"/>
              </w:rPr>
              <w:t>7</w:t>
            </w:r>
            <w:r>
              <w:rPr>
                <w:rFonts w:hint="eastAsia" w:ascii="仿宋_GB2312" w:eastAsia="仿宋_GB2312"/>
                <w:b w:val="0"/>
                <w:bCs/>
                <w:color w:val="000000"/>
                <w:sz w:val="32"/>
                <w:szCs w:val="32"/>
              </w:rPr>
              <w:t>.立法经费</w:t>
            </w:r>
            <w:r>
              <w:rPr>
                <w:rFonts w:hint="eastAsia" w:ascii="仿宋_GB2312" w:eastAsia="仿宋_GB2312"/>
                <w:b w:val="0"/>
                <w:bCs/>
                <w:color w:val="000000"/>
                <w:sz w:val="32"/>
                <w:szCs w:val="32"/>
                <w:lang w:eastAsia="zh-CN"/>
              </w:rPr>
              <w:t>支出。主要用于</w:t>
            </w:r>
            <w:r>
              <w:rPr>
                <w:rFonts w:hint="eastAsia" w:ascii="仿宋_GB2312" w:eastAsia="仿宋_GB2312"/>
                <w:b w:val="0"/>
                <w:bCs/>
                <w:color w:val="000000"/>
                <w:sz w:val="32"/>
                <w:szCs w:val="32"/>
              </w:rPr>
              <w:t>立法前及立法后评估专家论证、提前介入调研、本地报刊媒体公布征求及发布后报纸刊载</w:t>
            </w:r>
            <w:r>
              <w:rPr>
                <w:rFonts w:hint="eastAsia" w:ascii="仿宋_GB2312" w:eastAsia="仿宋_GB2312"/>
                <w:b w:val="0"/>
                <w:bCs/>
                <w:color w:val="000000"/>
                <w:sz w:val="32"/>
                <w:szCs w:val="32"/>
                <w:lang w:eastAsia="zh-CN"/>
              </w:rPr>
              <w:t>等支出约</w:t>
            </w:r>
            <w:r>
              <w:rPr>
                <w:rFonts w:hint="eastAsia" w:ascii="仿宋_GB2312" w:eastAsia="仿宋_GB2312"/>
                <w:b w:val="0"/>
                <w:bCs/>
                <w:color w:val="000000"/>
                <w:sz w:val="32"/>
                <w:szCs w:val="32"/>
                <w:lang w:val="en-US" w:eastAsia="zh-CN"/>
              </w:rPr>
              <w:t>1万元</w:t>
            </w:r>
            <w:r>
              <w:rPr>
                <w:rFonts w:hint="eastAsia" w:ascii="仿宋_GB2312" w:eastAsia="仿宋_GB2312"/>
                <w:b w:val="0"/>
                <w:bCs/>
                <w:color w:val="000000"/>
                <w:sz w:val="32"/>
                <w:szCs w:val="32"/>
                <w:lang w:eastAsia="zh-CN"/>
              </w:rPr>
              <w:t>。</w:t>
            </w:r>
            <w:r>
              <w:rPr>
                <w:rFonts w:hint="eastAsia" w:ascii="仿宋_GB2312" w:eastAsia="仿宋_GB2312"/>
                <w:b w:val="0"/>
                <w:bCs/>
                <w:color w:val="000000"/>
                <w:sz w:val="32"/>
                <w:szCs w:val="32"/>
                <w:lang w:val="en-US" w:eastAsia="zh-CN"/>
              </w:rPr>
              <w:t>8.合法性审查经费支出。主要用于支付</w:t>
            </w:r>
            <w:r>
              <w:rPr>
                <w:rFonts w:hint="eastAsia" w:ascii="仿宋" w:hAnsi="仿宋" w:eastAsia="仿宋"/>
                <w:color w:val="000000"/>
                <w:sz w:val="32"/>
                <w:szCs w:val="32"/>
              </w:rPr>
              <w:t>聘用</w:t>
            </w:r>
            <w:r>
              <w:rPr>
                <w:rFonts w:hint="eastAsia" w:ascii="仿宋" w:hAnsi="仿宋" w:eastAsia="仿宋"/>
                <w:color w:val="000000"/>
                <w:sz w:val="32"/>
                <w:szCs w:val="32"/>
                <w:lang w:eastAsia="zh-CN"/>
              </w:rPr>
              <w:t>规范性文件、</w:t>
            </w:r>
            <w:r>
              <w:rPr>
                <w:rFonts w:hint="eastAsia" w:ascii="仿宋" w:hAnsi="仿宋" w:eastAsia="仿宋"/>
                <w:color w:val="000000"/>
                <w:sz w:val="32"/>
                <w:szCs w:val="32"/>
              </w:rPr>
              <w:t>市政府常务会议纪要合法性审查</w:t>
            </w:r>
            <w:r>
              <w:rPr>
                <w:rFonts w:hint="eastAsia" w:ascii="仿宋" w:hAnsi="仿宋" w:eastAsia="仿宋"/>
                <w:color w:val="000000"/>
                <w:sz w:val="32"/>
                <w:szCs w:val="32"/>
                <w:lang w:eastAsia="zh-CN"/>
              </w:rPr>
              <w:t>法律</w:t>
            </w:r>
            <w:r>
              <w:rPr>
                <w:rFonts w:hint="eastAsia" w:ascii="仿宋" w:hAnsi="仿宋" w:eastAsia="仿宋"/>
                <w:color w:val="000000"/>
                <w:sz w:val="32"/>
                <w:szCs w:val="32"/>
              </w:rPr>
              <w:t>顾问</w:t>
            </w:r>
            <w:r>
              <w:rPr>
                <w:rFonts w:hint="eastAsia" w:ascii="仿宋" w:hAnsi="仿宋" w:eastAsia="仿宋"/>
                <w:color w:val="000000"/>
                <w:sz w:val="32"/>
                <w:szCs w:val="32"/>
                <w:lang w:eastAsia="zh-CN"/>
              </w:rPr>
              <w:t>费用，共</w:t>
            </w:r>
            <w:r>
              <w:rPr>
                <w:rFonts w:hint="eastAsia" w:ascii="仿宋" w:hAnsi="仿宋" w:eastAsia="仿宋"/>
                <w:color w:val="000000"/>
                <w:sz w:val="32"/>
                <w:szCs w:val="32"/>
                <w:lang w:val="en-US" w:eastAsia="zh-CN"/>
              </w:rPr>
              <w:t>19万元</w:t>
            </w:r>
            <w:r>
              <w:rPr>
                <w:rFonts w:hint="eastAsia" w:ascii="仿宋" w:hAnsi="仿宋" w:eastAsia="仿宋"/>
                <w:color w:val="000000"/>
                <w:sz w:val="32"/>
                <w:szCs w:val="32"/>
                <w:lang w:eastAsia="zh-CN"/>
              </w:rPr>
              <w:t>。</w:t>
            </w:r>
            <w:r>
              <w:rPr>
                <w:rFonts w:hint="eastAsia" w:ascii="仿宋_GB2312" w:eastAsia="仿宋_GB2312"/>
                <w:b w:val="0"/>
                <w:bCs/>
                <w:color w:val="000000"/>
                <w:sz w:val="32"/>
                <w:szCs w:val="32"/>
                <w:lang w:val="en-US" w:eastAsia="zh-CN"/>
              </w:rPr>
              <w:t>9.</w:t>
            </w:r>
            <w:r>
              <w:rPr>
                <w:rFonts w:hint="eastAsia" w:ascii="仿宋_GB2312" w:eastAsia="仿宋_GB2312"/>
                <w:b w:val="0"/>
                <w:bCs/>
                <w:color w:val="000000"/>
                <w:sz w:val="32"/>
                <w:szCs w:val="32"/>
              </w:rPr>
              <w:t>公共法律服务管理、基层法律服务管理、机关党建、律师管理、人事管理等经费由司法局统筹</w:t>
            </w:r>
            <w:r>
              <w:rPr>
                <w:rFonts w:hint="eastAsia" w:ascii="仿宋_GB2312" w:eastAsia="仿宋_GB2312"/>
                <w:b w:val="0"/>
                <w:bCs/>
                <w:color w:val="000000"/>
                <w:sz w:val="32"/>
                <w:szCs w:val="32"/>
                <w:lang w:eastAsia="zh-CN"/>
              </w:rPr>
              <w:t>约需经费</w:t>
            </w:r>
            <w:r>
              <w:rPr>
                <w:rFonts w:hint="eastAsia" w:ascii="仿宋_GB2312" w:eastAsia="仿宋_GB2312"/>
                <w:b w:val="0"/>
                <w:bCs/>
                <w:color w:val="000000"/>
                <w:sz w:val="32"/>
                <w:szCs w:val="32"/>
                <w:lang w:val="en-US" w:eastAsia="zh-CN"/>
              </w:rPr>
              <w:t>1.26万元。</w:t>
            </w:r>
          </w:p>
          <w:p w14:paraId="6807C536">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（6）年度预算安排</w:t>
            </w:r>
            <w:r>
              <w:rPr>
                <w:rFonts w:hint="eastAsia" w:ascii="仿宋_GB2312" w:hAnsi="仿宋_GB2312" w:eastAsia="仿宋_GB2312" w:cs="仿宋_GB2312"/>
                <w:sz w:val="32"/>
                <w:szCs w:val="32"/>
                <w:lang w:val="en-US" w:eastAsia="zh-CN"/>
              </w:rPr>
              <w:t>为96.35万元。</w:t>
            </w:r>
          </w:p>
          <w:p w14:paraId="50D3DAC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（7）绩效目标。</w:t>
            </w:r>
          </w:p>
          <w:p w14:paraId="2A44274C">
            <w:pPr>
              <w:ind w:firstLine="2731" w:firstLineChars="850"/>
              <w:rPr>
                <w:rFonts w:hint="eastAsia"/>
                <w:b/>
                <w:bCs/>
                <w:sz w:val="32"/>
                <w:szCs w:val="32"/>
              </w:rPr>
            </w:pPr>
          </w:p>
          <w:p w14:paraId="1AE59B0E">
            <w:pPr>
              <w:ind w:firstLine="2731" w:firstLineChars="850"/>
              <w:rPr>
                <w:rFonts w:hint="eastAsia"/>
                <w:b/>
                <w:bCs/>
                <w:sz w:val="32"/>
                <w:szCs w:val="32"/>
              </w:rPr>
            </w:pPr>
          </w:p>
          <w:p w14:paraId="7DE76C74">
            <w:pPr>
              <w:ind w:firstLine="2731" w:firstLineChars="850"/>
              <w:rPr>
                <w:rFonts w:hint="eastAsia"/>
                <w:b/>
                <w:bCs/>
                <w:sz w:val="32"/>
                <w:szCs w:val="32"/>
              </w:rPr>
            </w:pPr>
          </w:p>
          <w:p w14:paraId="69CF4C89">
            <w:pPr>
              <w:ind w:firstLine="2731" w:firstLineChars="850"/>
              <w:rPr>
                <w:rFonts w:ascii="宋体" w:hAnsi="宋体" w:cs="宋体"/>
                <w:b/>
                <w:bCs/>
                <w:sz w:val="32"/>
                <w:szCs w:val="32"/>
              </w:rPr>
            </w:pPr>
            <w:r>
              <w:rPr>
                <w:rFonts w:hint="eastAsia"/>
                <w:b/>
                <w:bCs/>
                <w:sz w:val="32"/>
                <w:szCs w:val="32"/>
              </w:rPr>
              <w:t>项目支出绩效目标表</w:t>
            </w:r>
          </w:p>
        </w:tc>
      </w:tr>
      <w:tr w14:paraId="622889DD">
        <w:tblPrEx>
          <w:tblCellMar>
            <w:top w:w="0" w:type="dxa"/>
            <w:left w:w="108" w:type="dxa"/>
            <w:bottom w:w="0" w:type="dxa"/>
            <w:right w:w="108" w:type="dxa"/>
          </w:tblCellMar>
        </w:tblPrEx>
        <w:trPr>
          <w:trHeight w:val="270" w:hRule="atLeast"/>
        </w:trPr>
        <w:tc>
          <w:tcPr>
            <w:tcW w:w="9324" w:type="dxa"/>
            <w:gridSpan w:val="10"/>
            <w:tcBorders>
              <w:top w:val="nil"/>
              <w:left w:val="nil"/>
              <w:bottom w:val="nil"/>
              <w:right w:val="nil"/>
            </w:tcBorders>
            <w:noWrap w:val="0"/>
            <w:vAlign w:val="center"/>
          </w:tcPr>
          <w:p w14:paraId="035E678B">
            <w:pPr>
              <w:jc w:val="center"/>
              <w:rPr>
                <w:rFonts w:ascii="宋体" w:hAnsi="宋体" w:cs="宋体"/>
                <w:sz w:val="20"/>
                <w:szCs w:val="20"/>
              </w:rPr>
            </w:pPr>
            <w:r>
              <w:rPr>
                <w:rFonts w:hint="eastAsia"/>
                <w:sz w:val="20"/>
                <w:szCs w:val="20"/>
              </w:rPr>
              <w:t>（202</w:t>
            </w:r>
            <w:r>
              <w:rPr>
                <w:rFonts w:hint="eastAsia"/>
                <w:sz w:val="20"/>
                <w:szCs w:val="20"/>
                <w:lang w:val="en-US" w:eastAsia="zh-CN"/>
              </w:rPr>
              <w:t>5</w:t>
            </w:r>
            <w:r>
              <w:rPr>
                <w:rFonts w:hint="eastAsia"/>
                <w:sz w:val="20"/>
                <w:szCs w:val="20"/>
              </w:rPr>
              <w:t>年度）</w:t>
            </w:r>
          </w:p>
        </w:tc>
      </w:tr>
      <w:tr w14:paraId="28335045">
        <w:tblPrEx>
          <w:tblCellMar>
            <w:top w:w="0" w:type="dxa"/>
            <w:left w:w="108" w:type="dxa"/>
            <w:bottom w:w="0" w:type="dxa"/>
            <w:right w:w="108" w:type="dxa"/>
          </w:tblCellMar>
        </w:tblPrEx>
        <w:trPr>
          <w:trHeight w:val="330" w:hRule="atLeast"/>
        </w:trPr>
        <w:tc>
          <w:tcPr>
            <w:tcW w:w="1236" w:type="dxa"/>
            <w:gridSpan w:val="2"/>
            <w:tcBorders>
              <w:top w:val="single" w:color="auto" w:sz="4" w:space="0"/>
              <w:left w:val="single" w:color="auto" w:sz="4" w:space="0"/>
              <w:bottom w:val="single" w:color="auto" w:sz="4" w:space="0"/>
              <w:right w:val="single" w:color="auto" w:sz="4" w:space="0"/>
            </w:tcBorders>
            <w:noWrap w:val="0"/>
            <w:vAlign w:val="center"/>
          </w:tcPr>
          <w:p w14:paraId="3E8F2152">
            <w:pPr>
              <w:jc w:val="center"/>
              <w:rPr>
                <w:rFonts w:ascii="宋体" w:hAnsi="宋体" w:cs="宋体"/>
                <w:color w:val="000000"/>
                <w:sz w:val="20"/>
                <w:szCs w:val="20"/>
              </w:rPr>
            </w:pPr>
            <w:r>
              <w:rPr>
                <w:rFonts w:hint="eastAsia"/>
                <w:color w:val="000000"/>
                <w:sz w:val="20"/>
                <w:szCs w:val="20"/>
              </w:rPr>
              <w:t>项目名称</w:t>
            </w:r>
          </w:p>
        </w:tc>
        <w:tc>
          <w:tcPr>
            <w:tcW w:w="8088" w:type="dxa"/>
            <w:gridSpan w:val="8"/>
            <w:tcBorders>
              <w:top w:val="single" w:color="auto" w:sz="4" w:space="0"/>
              <w:left w:val="nil"/>
              <w:bottom w:val="single" w:color="auto" w:sz="4" w:space="0"/>
              <w:right w:val="single" w:color="000000" w:sz="4" w:space="0"/>
            </w:tcBorders>
            <w:noWrap w:val="0"/>
            <w:vAlign w:val="center"/>
          </w:tcPr>
          <w:p w14:paraId="6A179D7A">
            <w:pPr>
              <w:rPr>
                <w:rFonts w:ascii="宋体" w:hAnsi="宋体" w:cs="宋体"/>
                <w:color w:val="000000"/>
                <w:sz w:val="20"/>
                <w:szCs w:val="20"/>
              </w:rPr>
            </w:pPr>
            <w:r>
              <w:rPr>
                <w:rFonts w:hint="eastAsia" w:ascii="Times New Roman" w:hAnsi="Times New Roman" w:eastAsia="宋体" w:cs="Times New Roman"/>
                <w:color w:val="000000"/>
                <w:sz w:val="20"/>
                <w:szCs w:val="20"/>
              </w:rPr>
              <w:t>司法行政工作经费</w:t>
            </w:r>
          </w:p>
        </w:tc>
      </w:tr>
      <w:tr w14:paraId="6BE5F226">
        <w:tblPrEx>
          <w:tblCellMar>
            <w:top w:w="0" w:type="dxa"/>
            <w:left w:w="108" w:type="dxa"/>
            <w:bottom w:w="0" w:type="dxa"/>
            <w:right w:w="108" w:type="dxa"/>
          </w:tblCellMar>
        </w:tblPrEx>
        <w:trPr>
          <w:trHeight w:val="330" w:hRule="atLeast"/>
        </w:trPr>
        <w:tc>
          <w:tcPr>
            <w:tcW w:w="1236" w:type="dxa"/>
            <w:gridSpan w:val="2"/>
            <w:tcBorders>
              <w:top w:val="single" w:color="auto" w:sz="4" w:space="0"/>
              <w:left w:val="single" w:color="auto" w:sz="4" w:space="0"/>
              <w:bottom w:val="single" w:color="auto" w:sz="4" w:space="0"/>
              <w:right w:val="single" w:color="auto" w:sz="4" w:space="0"/>
            </w:tcBorders>
            <w:noWrap w:val="0"/>
            <w:vAlign w:val="center"/>
          </w:tcPr>
          <w:p w14:paraId="714B269A">
            <w:pPr>
              <w:jc w:val="center"/>
              <w:rPr>
                <w:rFonts w:ascii="宋体" w:hAnsi="宋体" w:cs="宋体"/>
                <w:color w:val="000000"/>
                <w:sz w:val="20"/>
                <w:szCs w:val="20"/>
              </w:rPr>
            </w:pPr>
            <w:r>
              <w:rPr>
                <w:rFonts w:hint="eastAsia"/>
                <w:color w:val="000000"/>
                <w:sz w:val="20"/>
                <w:szCs w:val="20"/>
              </w:rPr>
              <w:t>实施单位</w:t>
            </w:r>
          </w:p>
        </w:tc>
        <w:tc>
          <w:tcPr>
            <w:tcW w:w="8088" w:type="dxa"/>
            <w:gridSpan w:val="8"/>
            <w:tcBorders>
              <w:top w:val="single" w:color="auto" w:sz="4" w:space="0"/>
              <w:left w:val="nil"/>
              <w:bottom w:val="single" w:color="auto" w:sz="4" w:space="0"/>
              <w:right w:val="single" w:color="auto" w:sz="4" w:space="0"/>
            </w:tcBorders>
            <w:noWrap w:val="0"/>
            <w:vAlign w:val="center"/>
          </w:tcPr>
          <w:p w14:paraId="6F624AD8">
            <w:pPr>
              <w:rPr>
                <w:rFonts w:hint="eastAsia" w:ascii="宋体" w:hAnsi="宋体" w:eastAsia="宋体" w:cs="宋体"/>
                <w:color w:val="000000"/>
                <w:sz w:val="20"/>
                <w:szCs w:val="20"/>
                <w:lang w:eastAsia="zh-CN"/>
              </w:rPr>
            </w:pPr>
            <w:r>
              <w:rPr>
                <w:rFonts w:hint="eastAsia"/>
                <w:color w:val="000000"/>
                <w:sz w:val="20"/>
                <w:szCs w:val="20"/>
              </w:rPr>
              <w:t>淮北市</w:t>
            </w:r>
            <w:r>
              <w:rPr>
                <w:rFonts w:hint="eastAsia"/>
                <w:color w:val="000000"/>
                <w:sz w:val="20"/>
                <w:szCs w:val="20"/>
                <w:lang w:val="en-US" w:eastAsia="zh-CN"/>
              </w:rPr>
              <w:t>司法局</w:t>
            </w:r>
          </w:p>
        </w:tc>
      </w:tr>
      <w:tr w14:paraId="7EB89D88">
        <w:tblPrEx>
          <w:tblCellMar>
            <w:top w:w="0" w:type="dxa"/>
            <w:left w:w="108" w:type="dxa"/>
            <w:bottom w:w="0" w:type="dxa"/>
            <w:right w:w="108" w:type="dxa"/>
          </w:tblCellMar>
        </w:tblPrEx>
        <w:trPr>
          <w:trHeight w:val="330" w:hRule="atLeast"/>
        </w:trPr>
        <w:tc>
          <w:tcPr>
            <w:tcW w:w="1236" w:type="dxa"/>
            <w:gridSpan w:val="2"/>
            <w:tcBorders>
              <w:top w:val="single" w:color="auto" w:sz="4" w:space="0"/>
              <w:left w:val="single" w:color="auto" w:sz="4" w:space="0"/>
              <w:bottom w:val="single" w:color="auto" w:sz="4" w:space="0"/>
              <w:right w:val="single" w:color="auto" w:sz="4" w:space="0"/>
            </w:tcBorders>
            <w:noWrap w:val="0"/>
            <w:vAlign w:val="center"/>
          </w:tcPr>
          <w:p w14:paraId="69005AF3">
            <w:pPr>
              <w:jc w:val="center"/>
              <w:rPr>
                <w:rFonts w:ascii="宋体" w:hAnsi="宋体" w:cs="宋体"/>
                <w:color w:val="000000"/>
                <w:sz w:val="20"/>
                <w:szCs w:val="20"/>
              </w:rPr>
            </w:pPr>
            <w:r>
              <w:rPr>
                <w:rFonts w:hint="eastAsia"/>
                <w:color w:val="000000"/>
                <w:sz w:val="20"/>
                <w:szCs w:val="20"/>
              </w:rPr>
              <w:t>项目属性</w:t>
            </w:r>
          </w:p>
        </w:tc>
        <w:tc>
          <w:tcPr>
            <w:tcW w:w="8088" w:type="dxa"/>
            <w:gridSpan w:val="8"/>
            <w:tcBorders>
              <w:top w:val="single" w:color="auto" w:sz="4" w:space="0"/>
              <w:left w:val="nil"/>
              <w:bottom w:val="single" w:color="auto" w:sz="4" w:space="0"/>
              <w:right w:val="single" w:color="auto" w:sz="4" w:space="0"/>
            </w:tcBorders>
            <w:noWrap w:val="0"/>
            <w:vAlign w:val="center"/>
          </w:tcPr>
          <w:p w14:paraId="34ED8FE8">
            <w:pPr>
              <w:rPr>
                <w:rFonts w:ascii="宋体" w:hAnsi="宋体" w:cs="宋体"/>
                <w:color w:val="000000"/>
                <w:sz w:val="20"/>
                <w:szCs w:val="20"/>
              </w:rPr>
            </w:pPr>
            <w:r>
              <w:rPr>
                <w:rFonts w:hint="eastAsia"/>
                <w:color w:val="000000"/>
                <w:sz w:val="20"/>
                <w:szCs w:val="20"/>
              </w:rPr>
              <w:t>经常性项目</w:t>
            </w:r>
          </w:p>
        </w:tc>
      </w:tr>
      <w:tr w14:paraId="31B0FBFE">
        <w:tblPrEx>
          <w:tblCellMar>
            <w:top w:w="0" w:type="dxa"/>
            <w:left w:w="108" w:type="dxa"/>
            <w:bottom w:w="0" w:type="dxa"/>
            <w:right w:w="108" w:type="dxa"/>
          </w:tblCellMar>
        </w:tblPrEx>
        <w:trPr>
          <w:trHeight w:val="330" w:hRule="atLeast"/>
        </w:trPr>
        <w:tc>
          <w:tcPr>
            <w:tcW w:w="2176"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14:paraId="1AE076D7">
            <w:pPr>
              <w:jc w:val="center"/>
              <w:rPr>
                <w:rFonts w:hint="eastAsia" w:eastAsia="宋体"/>
                <w:sz w:val="20"/>
                <w:szCs w:val="20"/>
                <w:lang w:eastAsia="zh-CN"/>
              </w:rPr>
            </w:pPr>
            <w:r>
              <w:rPr>
                <w:rFonts w:hint="eastAsia"/>
                <w:sz w:val="20"/>
                <w:szCs w:val="20"/>
              </w:rPr>
              <w:t>项目资金</w:t>
            </w:r>
          </w:p>
          <w:p w14:paraId="19A8B0A1">
            <w:pPr>
              <w:jc w:val="center"/>
              <w:rPr>
                <w:rFonts w:ascii="宋体" w:hAnsi="宋体" w:cs="宋体"/>
                <w:sz w:val="20"/>
                <w:szCs w:val="20"/>
              </w:rPr>
            </w:pPr>
            <w:r>
              <w:rPr>
                <w:rFonts w:hint="eastAsia"/>
                <w:sz w:val="20"/>
                <w:szCs w:val="20"/>
              </w:rPr>
              <w:t>（万元）</w:t>
            </w:r>
          </w:p>
        </w:tc>
        <w:tc>
          <w:tcPr>
            <w:tcW w:w="1523" w:type="dxa"/>
            <w:tcBorders>
              <w:top w:val="nil"/>
              <w:left w:val="nil"/>
              <w:bottom w:val="single" w:color="auto" w:sz="4" w:space="0"/>
              <w:right w:val="single" w:color="auto" w:sz="4" w:space="0"/>
            </w:tcBorders>
            <w:noWrap w:val="0"/>
            <w:vAlign w:val="center"/>
          </w:tcPr>
          <w:p w14:paraId="4441E76E">
            <w:pPr>
              <w:rPr>
                <w:rFonts w:ascii="宋体" w:hAnsi="宋体" w:cs="宋体"/>
                <w:sz w:val="20"/>
                <w:szCs w:val="20"/>
              </w:rPr>
            </w:pPr>
            <w:r>
              <w:rPr>
                <w:rFonts w:hint="eastAsia"/>
                <w:sz w:val="20"/>
                <w:szCs w:val="20"/>
              </w:rPr>
              <w:t>中期资金总额：</w:t>
            </w:r>
          </w:p>
        </w:tc>
        <w:tc>
          <w:tcPr>
            <w:tcW w:w="2128" w:type="dxa"/>
            <w:gridSpan w:val="2"/>
            <w:tcBorders>
              <w:top w:val="single" w:color="auto" w:sz="4" w:space="0"/>
              <w:left w:val="nil"/>
              <w:bottom w:val="single" w:color="auto" w:sz="4" w:space="0"/>
              <w:right w:val="single" w:color="auto" w:sz="4" w:space="0"/>
            </w:tcBorders>
            <w:noWrap w:val="0"/>
            <w:vAlign w:val="center"/>
          </w:tcPr>
          <w:p w14:paraId="5503BCC2">
            <w:pPr>
              <w:jc w:val="center"/>
              <w:rPr>
                <w:rFonts w:hint="default" w:ascii="宋体" w:hAnsi="宋体" w:eastAsia="宋体" w:cs="宋体"/>
                <w:sz w:val="20"/>
                <w:szCs w:val="20"/>
                <w:lang w:val="en-US" w:eastAsia="zh-CN"/>
              </w:rPr>
            </w:pPr>
            <w:r>
              <w:rPr>
                <w:rFonts w:hint="eastAsia"/>
                <w:sz w:val="20"/>
                <w:szCs w:val="20"/>
                <w:lang w:val="en-US" w:eastAsia="zh-CN"/>
              </w:rPr>
              <w:t>96.35</w:t>
            </w:r>
          </w:p>
        </w:tc>
        <w:tc>
          <w:tcPr>
            <w:tcW w:w="1817" w:type="dxa"/>
            <w:gridSpan w:val="2"/>
            <w:tcBorders>
              <w:top w:val="single" w:color="auto" w:sz="4" w:space="0"/>
              <w:left w:val="nil"/>
              <w:bottom w:val="single" w:color="auto" w:sz="4" w:space="0"/>
              <w:right w:val="single" w:color="auto" w:sz="4" w:space="0"/>
            </w:tcBorders>
            <w:noWrap w:val="0"/>
            <w:vAlign w:val="center"/>
          </w:tcPr>
          <w:p w14:paraId="799957E5">
            <w:pPr>
              <w:rPr>
                <w:rFonts w:ascii="宋体" w:hAnsi="宋体" w:cs="宋体"/>
                <w:sz w:val="20"/>
                <w:szCs w:val="20"/>
              </w:rPr>
            </w:pPr>
            <w:r>
              <w:rPr>
                <w:rFonts w:hint="eastAsia"/>
                <w:sz w:val="20"/>
                <w:szCs w:val="20"/>
              </w:rPr>
              <w:t xml:space="preserve"> 年度资金总额：</w:t>
            </w:r>
          </w:p>
        </w:tc>
        <w:tc>
          <w:tcPr>
            <w:tcW w:w="1680" w:type="dxa"/>
            <w:gridSpan w:val="2"/>
            <w:tcBorders>
              <w:top w:val="single" w:color="auto" w:sz="4" w:space="0"/>
              <w:left w:val="nil"/>
              <w:bottom w:val="single" w:color="auto" w:sz="4" w:space="0"/>
              <w:right w:val="single" w:color="000000" w:sz="4" w:space="0"/>
            </w:tcBorders>
            <w:noWrap w:val="0"/>
            <w:vAlign w:val="center"/>
          </w:tcPr>
          <w:p w14:paraId="47BAA5D9">
            <w:pPr>
              <w:jc w:val="center"/>
              <w:rPr>
                <w:rFonts w:ascii="宋体" w:hAnsi="宋体" w:cs="宋体"/>
                <w:sz w:val="20"/>
                <w:szCs w:val="20"/>
              </w:rPr>
            </w:pPr>
            <w:r>
              <w:rPr>
                <w:rFonts w:hint="eastAsia"/>
                <w:sz w:val="20"/>
                <w:szCs w:val="20"/>
                <w:lang w:val="en-US" w:eastAsia="zh-CN"/>
              </w:rPr>
              <w:t>96.35</w:t>
            </w:r>
          </w:p>
        </w:tc>
      </w:tr>
      <w:tr w14:paraId="4CBD6B4A">
        <w:tblPrEx>
          <w:tblCellMar>
            <w:top w:w="0" w:type="dxa"/>
            <w:left w:w="108" w:type="dxa"/>
            <w:bottom w:w="0" w:type="dxa"/>
            <w:right w:w="108" w:type="dxa"/>
          </w:tblCellMar>
        </w:tblPrEx>
        <w:trPr>
          <w:trHeight w:val="330" w:hRule="atLeast"/>
        </w:trPr>
        <w:tc>
          <w:tcPr>
            <w:tcW w:w="2176"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14:paraId="0B349556">
            <w:pPr>
              <w:rPr>
                <w:rFonts w:ascii="宋体" w:hAnsi="宋体" w:cs="宋体"/>
                <w:sz w:val="20"/>
                <w:szCs w:val="20"/>
              </w:rPr>
            </w:pPr>
          </w:p>
        </w:tc>
        <w:tc>
          <w:tcPr>
            <w:tcW w:w="1523" w:type="dxa"/>
            <w:tcBorders>
              <w:top w:val="nil"/>
              <w:left w:val="nil"/>
              <w:bottom w:val="single" w:color="auto" w:sz="4" w:space="0"/>
              <w:right w:val="single" w:color="auto" w:sz="4" w:space="0"/>
            </w:tcBorders>
            <w:noWrap w:val="0"/>
            <w:vAlign w:val="center"/>
          </w:tcPr>
          <w:p w14:paraId="17B44347">
            <w:pPr>
              <w:rPr>
                <w:rFonts w:ascii="宋体" w:hAnsi="宋体" w:cs="宋体"/>
                <w:sz w:val="20"/>
                <w:szCs w:val="20"/>
              </w:rPr>
            </w:pPr>
            <w:r>
              <w:rPr>
                <w:rFonts w:hint="eastAsia"/>
                <w:sz w:val="20"/>
                <w:szCs w:val="20"/>
              </w:rPr>
              <w:t xml:space="preserve">  其中：财政拨款</w:t>
            </w:r>
          </w:p>
        </w:tc>
        <w:tc>
          <w:tcPr>
            <w:tcW w:w="2128" w:type="dxa"/>
            <w:gridSpan w:val="2"/>
            <w:tcBorders>
              <w:top w:val="single" w:color="auto" w:sz="4" w:space="0"/>
              <w:left w:val="nil"/>
              <w:bottom w:val="single" w:color="auto" w:sz="4" w:space="0"/>
              <w:right w:val="single" w:color="auto" w:sz="4" w:space="0"/>
            </w:tcBorders>
            <w:noWrap w:val="0"/>
            <w:vAlign w:val="center"/>
          </w:tcPr>
          <w:p w14:paraId="7A042BDF">
            <w:pPr>
              <w:jc w:val="center"/>
              <w:rPr>
                <w:rFonts w:hint="default" w:ascii="宋体" w:hAnsi="宋体" w:eastAsia="宋体" w:cs="宋体"/>
                <w:sz w:val="20"/>
                <w:szCs w:val="20"/>
                <w:lang w:val="en-US" w:eastAsia="zh-CN"/>
              </w:rPr>
            </w:pPr>
            <w:r>
              <w:rPr>
                <w:rFonts w:hint="eastAsia"/>
                <w:sz w:val="20"/>
                <w:szCs w:val="20"/>
                <w:lang w:val="en-US" w:eastAsia="zh-CN"/>
              </w:rPr>
              <w:t>96.35</w:t>
            </w:r>
          </w:p>
        </w:tc>
        <w:tc>
          <w:tcPr>
            <w:tcW w:w="1817" w:type="dxa"/>
            <w:gridSpan w:val="2"/>
            <w:tcBorders>
              <w:top w:val="single" w:color="auto" w:sz="4" w:space="0"/>
              <w:left w:val="nil"/>
              <w:bottom w:val="single" w:color="auto" w:sz="4" w:space="0"/>
              <w:right w:val="single" w:color="auto" w:sz="4" w:space="0"/>
            </w:tcBorders>
            <w:noWrap w:val="0"/>
            <w:vAlign w:val="center"/>
          </w:tcPr>
          <w:p w14:paraId="1C9580AF">
            <w:pPr>
              <w:rPr>
                <w:rFonts w:ascii="宋体" w:hAnsi="宋体" w:cs="宋体"/>
                <w:sz w:val="20"/>
                <w:szCs w:val="20"/>
              </w:rPr>
            </w:pPr>
            <w:r>
              <w:rPr>
                <w:rFonts w:hint="eastAsia"/>
                <w:sz w:val="20"/>
                <w:szCs w:val="20"/>
              </w:rPr>
              <w:t xml:space="preserve">   其中：财政拨款</w:t>
            </w:r>
          </w:p>
        </w:tc>
        <w:tc>
          <w:tcPr>
            <w:tcW w:w="1680" w:type="dxa"/>
            <w:gridSpan w:val="2"/>
            <w:tcBorders>
              <w:top w:val="single" w:color="auto" w:sz="4" w:space="0"/>
              <w:left w:val="nil"/>
              <w:bottom w:val="single" w:color="auto" w:sz="4" w:space="0"/>
              <w:right w:val="single" w:color="000000" w:sz="4" w:space="0"/>
            </w:tcBorders>
            <w:noWrap w:val="0"/>
            <w:vAlign w:val="center"/>
          </w:tcPr>
          <w:p w14:paraId="3C69951C">
            <w:pPr>
              <w:jc w:val="center"/>
              <w:rPr>
                <w:rFonts w:ascii="宋体" w:hAnsi="宋体" w:cs="宋体"/>
                <w:sz w:val="20"/>
                <w:szCs w:val="20"/>
              </w:rPr>
            </w:pPr>
            <w:r>
              <w:rPr>
                <w:rFonts w:hint="eastAsia"/>
                <w:sz w:val="20"/>
                <w:szCs w:val="20"/>
                <w:lang w:val="en-US" w:eastAsia="zh-CN"/>
              </w:rPr>
              <w:t>96.35</w:t>
            </w:r>
          </w:p>
        </w:tc>
      </w:tr>
      <w:tr w14:paraId="52DFB802">
        <w:tblPrEx>
          <w:tblCellMar>
            <w:top w:w="0" w:type="dxa"/>
            <w:left w:w="108" w:type="dxa"/>
            <w:bottom w:w="0" w:type="dxa"/>
            <w:right w:w="108" w:type="dxa"/>
          </w:tblCellMar>
        </w:tblPrEx>
        <w:trPr>
          <w:trHeight w:val="330" w:hRule="atLeast"/>
        </w:trPr>
        <w:tc>
          <w:tcPr>
            <w:tcW w:w="2176"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14:paraId="75AEEB67">
            <w:pPr>
              <w:rPr>
                <w:rFonts w:ascii="宋体" w:hAnsi="宋体" w:cs="宋体"/>
                <w:sz w:val="20"/>
                <w:szCs w:val="20"/>
              </w:rPr>
            </w:pPr>
          </w:p>
        </w:tc>
        <w:tc>
          <w:tcPr>
            <w:tcW w:w="1523" w:type="dxa"/>
            <w:tcBorders>
              <w:top w:val="nil"/>
              <w:left w:val="nil"/>
              <w:bottom w:val="single" w:color="auto" w:sz="4" w:space="0"/>
              <w:right w:val="single" w:color="auto" w:sz="4" w:space="0"/>
            </w:tcBorders>
            <w:noWrap w:val="0"/>
            <w:vAlign w:val="center"/>
          </w:tcPr>
          <w:p w14:paraId="02B2089A">
            <w:pPr>
              <w:rPr>
                <w:rFonts w:ascii="宋体" w:hAnsi="宋体" w:cs="宋体"/>
                <w:sz w:val="20"/>
                <w:szCs w:val="20"/>
              </w:rPr>
            </w:pPr>
            <w:r>
              <w:rPr>
                <w:rFonts w:hint="eastAsia"/>
                <w:sz w:val="20"/>
                <w:szCs w:val="20"/>
              </w:rPr>
              <w:t xml:space="preserve">     其他资金</w:t>
            </w:r>
          </w:p>
        </w:tc>
        <w:tc>
          <w:tcPr>
            <w:tcW w:w="2128" w:type="dxa"/>
            <w:gridSpan w:val="2"/>
            <w:tcBorders>
              <w:top w:val="single" w:color="auto" w:sz="4" w:space="0"/>
              <w:left w:val="nil"/>
              <w:bottom w:val="single" w:color="auto" w:sz="4" w:space="0"/>
              <w:right w:val="single" w:color="000000" w:sz="4" w:space="0"/>
            </w:tcBorders>
            <w:noWrap w:val="0"/>
            <w:vAlign w:val="center"/>
          </w:tcPr>
          <w:p w14:paraId="6A0C2B7C">
            <w:pPr>
              <w:jc w:val="center"/>
              <w:rPr>
                <w:rFonts w:ascii="宋体" w:hAnsi="宋体" w:cs="宋体"/>
                <w:sz w:val="20"/>
                <w:szCs w:val="20"/>
              </w:rPr>
            </w:pPr>
            <w:r>
              <w:rPr>
                <w:rFonts w:hint="eastAsia"/>
                <w:sz w:val="20"/>
                <w:szCs w:val="20"/>
              </w:rPr>
              <w:t>　</w:t>
            </w:r>
          </w:p>
        </w:tc>
        <w:tc>
          <w:tcPr>
            <w:tcW w:w="1817" w:type="dxa"/>
            <w:gridSpan w:val="2"/>
            <w:tcBorders>
              <w:top w:val="single" w:color="auto" w:sz="4" w:space="0"/>
              <w:left w:val="nil"/>
              <w:bottom w:val="single" w:color="auto" w:sz="4" w:space="0"/>
              <w:right w:val="single" w:color="auto" w:sz="4" w:space="0"/>
            </w:tcBorders>
            <w:noWrap w:val="0"/>
            <w:vAlign w:val="center"/>
          </w:tcPr>
          <w:p w14:paraId="6FF428DE">
            <w:pPr>
              <w:rPr>
                <w:rFonts w:ascii="宋体" w:hAnsi="宋体" w:cs="宋体"/>
                <w:sz w:val="20"/>
                <w:szCs w:val="20"/>
              </w:rPr>
            </w:pPr>
            <w:r>
              <w:rPr>
                <w:rFonts w:hint="eastAsia"/>
                <w:sz w:val="20"/>
                <w:szCs w:val="20"/>
              </w:rPr>
              <w:t xml:space="preserve">        其他资金</w:t>
            </w:r>
          </w:p>
        </w:tc>
        <w:tc>
          <w:tcPr>
            <w:tcW w:w="1680" w:type="dxa"/>
            <w:gridSpan w:val="2"/>
            <w:tcBorders>
              <w:top w:val="single" w:color="auto" w:sz="4" w:space="0"/>
              <w:left w:val="nil"/>
              <w:bottom w:val="single" w:color="auto" w:sz="4" w:space="0"/>
              <w:right w:val="single" w:color="000000" w:sz="4" w:space="0"/>
            </w:tcBorders>
            <w:noWrap w:val="0"/>
            <w:vAlign w:val="center"/>
          </w:tcPr>
          <w:p w14:paraId="1BFF7E5F">
            <w:pPr>
              <w:jc w:val="center"/>
              <w:rPr>
                <w:rFonts w:ascii="宋体" w:hAnsi="宋体" w:cs="宋体"/>
                <w:sz w:val="20"/>
                <w:szCs w:val="20"/>
              </w:rPr>
            </w:pPr>
            <w:r>
              <w:rPr>
                <w:rFonts w:hint="eastAsia"/>
                <w:sz w:val="20"/>
                <w:szCs w:val="20"/>
              </w:rPr>
              <w:t>　</w:t>
            </w:r>
          </w:p>
        </w:tc>
      </w:tr>
      <w:tr w14:paraId="33B5F528">
        <w:tblPrEx>
          <w:tblCellMar>
            <w:top w:w="0" w:type="dxa"/>
            <w:left w:w="108" w:type="dxa"/>
            <w:bottom w:w="0" w:type="dxa"/>
            <w:right w:w="108" w:type="dxa"/>
          </w:tblCellMar>
        </w:tblPrEx>
        <w:trPr>
          <w:trHeight w:val="330" w:hRule="atLeast"/>
        </w:trPr>
        <w:tc>
          <w:tcPr>
            <w:tcW w:w="416" w:type="dxa"/>
            <w:vMerge w:val="restart"/>
            <w:tcBorders>
              <w:top w:val="nil"/>
              <w:left w:val="single" w:color="auto" w:sz="4" w:space="0"/>
              <w:bottom w:val="single" w:color="auto" w:sz="4" w:space="0"/>
              <w:right w:val="single" w:color="auto" w:sz="4" w:space="0"/>
            </w:tcBorders>
            <w:noWrap w:val="0"/>
            <w:vAlign w:val="center"/>
          </w:tcPr>
          <w:p w14:paraId="6E99A78C">
            <w:pPr>
              <w:jc w:val="center"/>
              <w:rPr>
                <w:rFonts w:hint="eastAsia" w:eastAsia="宋体"/>
                <w:sz w:val="20"/>
                <w:szCs w:val="20"/>
                <w:lang w:eastAsia="zh-CN"/>
              </w:rPr>
            </w:pPr>
            <w:r>
              <w:rPr>
                <w:rFonts w:hint="eastAsia"/>
                <w:sz w:val="20"/>
                <w:szCs w:val="20"/>
              </w:rPr>
              <w:t>总</w:t>
            </w:r>
          </w:p>
          <w:p w14:paraId="4B26E168">
            <w:pPr>
              <w:jc w:val="center"/>
              <w:rPr>
                <w:rFonts w:hint="eastAsia" w:eastAsia="宋体"/>
                <w:sz w:val="20"/>
                <w:szCs w:val="20"/>
                <w:lang w:eastAsia="zh-CN"/>
              </w:rPr>
            </w:pPr>
            <w:r>
              <w:rPr>
                <w:rFonts w:hint="eastAsia"/>
                <w:sz w:val="20"/>
                <w:szCs w:val="20"/>
              </w:rPr>
              <w:t>体</w:t>
            </w:r>
          </w:p>
          <w:p w14:paraId="3F4F9219">
            <w:pPr>
              <w:jc w:val="center"/>
              <w:rPr>
                <w:rFonts w:hint="eastAsia" w:eastAsia="宋体"/>
                <w:sz w:val="20"/>
                <w:szCs w:val="20"/>
                <w:lang w:eastAsia="zh-CN"/>
              </w:rPr>
            </w:pPr>
            <w:r>
              <w:rPr>
                <w:rFonts w:hint="eastAsia"/>
                <w:sz w:val="20"/>
                <w:szCs w:val="20"/>
              </w:rPr>
              <w:t>目</w:t>
            </w:r>
          </w:p>
          <w:p w14:paraId="0DF73B7A">
            <w:pPr>
              <w:jc w:val="center"/>
              <w:rPr>
                <w:rFonts w:ascii="宋体" w:hAnsi="宋体" w:cs="宋体"/>
                <w:sz w:val="20"/>
                <w:szCs w:val="20"/>
              </w:rPr>
            </w:pPr>
            <w:r>
              <w:rPr>
                <w:rFonts w:hint="eastAsia"/>
                <w:sz w:val="20"/>
                <w:szCs w:val="20"/>
              </w:rPr>
              <w:t>标</w:t>
            </w:r>
          </w:p>
        </w:tc>
        <w:tc>
          <w:tcPr>
            <w:tcW w:w="5411" w:type="dxa"/>
            <w:gridSpan w:val="5"/>
            <w:tcBorders>
              <w:top w:val="single" w:color="auto" w:sz="4" w:space="0"/>
              <w:left w:val="nil"/>
              <w:bottom w:val="single" w:color="auto" w:sz="4" w:space="0"/>
              <w:right w:val="nil"/>
            </w:tcBorders>
            <w:noWrap w:val="0"/>
            <w:vAlign w:val="center"/>
          </w:tcPr>
          <w:p w14:paraId="1A274057">
            <w:pPr>
              <w:jc w:val="center"/>
              <w:rPr>
                <w:rFonts w:ascii="宋体" w:hAnsi="宋体" w:cs="宋体"/>
                <w:sz w:val="20"/>
                <w:szCs w:val="20"/>
              </w:rPr>
            </w:pPr>
            <w:r>
              <w:rPr>
                <w:rFonts w:hint="eastAsia"/>
                <w:sz w:val="20"/>
                <w:szCs w:val="20"/>
              </w:rPr>
              <w:t>中期目标（20</w:t>
            </w:r>
            <w:r>
              <w:rPr>
                <w:rFonts w:hint="eastAsia"/>
                <w:sz w:val="20"/>
                <w:szCs w:val="20"/>
                <w:lang w:val="en-US" w:eastAsia="zh-CN"/>
              </w:rPr>
              <w:t>22</w:t>
            </w:r>
            <w:r>
              <w:rPr>
                <w:rFonts w:hint="eastAsia"/>
                <w:sz w:val="20"/>
                <w:szCs w:val="20"/>
              </w:rPr>
              <w:t>年—20</w:t>
            </w:r>
            <w:r>
              <w:rPr>
                <w:rFonts w:hint="eastAsia"/>
                <w:sz w:val="20"/>
                <w:szCs w:val="20"/>
                <w:lang w:val="en-US" w:eastAsia="zh-CN"/>
              </w:rPr>
              <w:t>25</w:t>
            </w:r>
            <w:r>
              <w:rPr>
                <w:rFonts w:hint="eastAsia"/>
                <w:sz w:val="20"/>
                <w:szCs w:val="20"/>
              </w:rPr>
              <w:t>年）</w:t>
            </w:r>
          </w:p>
        </w:tc>
        <w:tc>
          <w:tcPr>
            <w:tcW w:w="3497" w:type="dxa"/>
            <w:gridSpan w:val="4"/>
            <w:tcBorders>
              <w:top w:val="single" w:color="auto" w:sz="4" w:space="0"/>
              <w:left w:val="single" w:color="auto" w:sz="4" w:space="0"/>
              <w:bottom w:val="single" w:color="auto" w:sz="4" w:space="0"/>
              <w:right w:val="single" w:color="000000" w:sz="4" w:space="0"/>
            </w:tcBorders>
            <w:noWrap w:val="0"/>
            <w:vAlign w:val="center"/>
          </w:tcPr>
          <w:p w14:paraId="7E46B263">
            <w:pPr>
              <w:jc w:val="center"/>
              <w:rPr>
                <w:rFonts w:ascii="宋体" w:hAnsi="宋体" w:cs="宋体"/>
                <w:sz w:val="20"/>
                <w:szCs w:val="20"/>
              </w:rPr>
            </w:pPr>
            <w:r>
              <w:rPr>
                <w:rFonts w:hint="eastAsia"/>
                <w:sz w:val="20"/>
                <w:szCs w:val="20"/>
              </w:rPr>
              <w:t>年度目标</w:t>
            </w:r>
          </w:p>
        </w:tc>
      </w:tr>
      <w:tr w14:paraId="31E92E23">
        <w:tblPrEx>
          <w:tblCellMar>
            <w:top w:w="0" w:type="dxa"/>
            <w:left w:w="108" w:type="dxa"/>
            <w:bottom w:w="0" w:type="dxa"/>
            <w:right w:w="108" w:type="dxa"/>
          </w:tblCellMar>
        </w:tblPrEx>
        <w:trPr>
          <w:trHeight w:val="660" w:hRule="atLeast"/>
        </w:trPr>
        <w:tc>
          <w:tcPr>
            <w:tcW w:w="416" w:type="dxa"/>
            <w:vMerge w:val="continue"/>
            <w:tcBorders>
              <w:top w:val="nil"/>
              <w:left w:val="single" w:color="auto" w:sz="4" w:space="0"/>
              <w:bottom w:val="single" w:color="auto" w:sz="4" w:space="0"/>
              <w:right w:val="single" w:color="auto" w:sz="4" w:space="0"/>
            </w:tcBorders>
            <w:noWrap w:val="0"/>
            <w:vAlign w:val="center"/>
          </w:tcPr>
          <w:p w14:paraId="75857948">
            <w:pPr>
              <w:rPr>
                <w:rFonts w:ascii="宋体" w:hAnsi="宋体" w:cs="宋体"/>
                <w:sz w:val="20"/>
                <w:szCs w:val="20"/>
              </w:rPr>
            </w:pPr>
          </w:p>
        </w:tc>
        <w:tc>
          <w:tcPr>
            <w:tcW w:w="5411" w:type="dxa"/>
            <w:gridSpan w:val="5"/>
            <w:tcBorders>
              <w:top w:val="single" w:color="auto" w:sz="4" w:space="0"/>
              <w:left w:val="nil"/>
              <w:bottom w:val="single" w:color="auto" w:sz="4" w:space="0"/>
              <w:right w:val="nil"/>
            </w:tcBorders>
            <w:noWrap w:val="0"/>
            <w:vAlign w:val="top"/>
          </w:tcPr>
          <w:p w14:paraId="68A8EF62">
            <w:pPr>
              <w:rPr>
                <w:rFonts w:hint="eastAsia"/>
                <w:lang w:eastAsia="zh-CN"/>
              </w:rPr>
            </w:pPr>
            <w:r>
              <w:rPr>
                <w:rFonts w:hint="eastAsia"/>
                <w:sz w:val="20"/>
                <w:szCs w:val="20"/>
              </w:rPr>
              <w:t xml:space="preserve"> 贯彻执行国家和省关于司法行政工作的方针、政策，组织制定全市司法行政工作的政策和规章制度；开展司法行政工作培训工作，指导、监督全市基层司法所建设、人民调解、社区矫正、基层法律服务和安置帮教工作；管理、指导全是面向社会服务的司法鉴定工作。</w:t>
            </w:r>
          </w:p>
        </w:tc>
        <w:tc>
          <w:tcPr>
            <w:tcW w:w="3497" w:type="dxa"/>
            <w:gridSpan w:val="4"/>
            <w:tcBorders>
              <w:top w:val="single" w:color="auto" w:sz="4" w:space="0"/>
              <w:left w:val="single" w:color="auto" w:sz="4" w:space="0"/>
              <w:bottom w:val="single" w:color="auto" w:sz="4" w:space="0"/>
              <w:right w:val="single" w:color="000000" w:sz="4" w:space="0"/>
            </w:tcBorders>
            <w:noWrap w:val="0"/>
            <w:vAlign w:val="top"/>
          </w:tcPr>
          <w:p w14:paraId="3BE31F2E">
            <w:pPr>
              <w:pStyle w:val="2"/>
              <w:rPr>
                <w:rFonts w:hint="eastAsia"/>
                <w:lang w:eastAsia="zh-CN"/>
              </w:rPr>
            </w:pPr>
            <w:r>
              <w:rPr>
                <w:rFonts w:hint="eastAsia"/>
                <w:sz w:val="20"/>
                <w:szCs w:val="20"/>
              </w:rPr>
              <w:t>贯彻执行国家和省关于司法行政工作的方针、政策，组织制定全市司法行政工作的政策和规章制度；开展司法行政工作培训工作，指导、监督全市基层司法所建设、人民调解、社区矫正、基层法律服务和安置帮教工作；管理、指导全是面向社会服务的司法鉴定工作。</w:t>
            </w:r>
          </w:p>
        </w:tc>
      </w:tr>
      <w:tr w14:paraId="36DFC692">
        <w:tblPrEx>
          <w:tblCellMar>
            <w:top w:w="0" w:type="dxa"/>
            <w:left w:w="108" w:type="dxa"/>
            <w:bottom w:w="0" w:type="dxa"/>
            <w:right w:w="108" w:type="dxa"/>
          </w:tblCellMar>
        </w:tblPrEx>
        <w:trPr>
          <w:trHeight w:val="830" w:hRule="atLeast"/>
        </w:trPr>
        <w:tc>
          <w:tcPr>
            <w:tcW w:w="416" w:type="dxa"/>
            <w:vMerge w:val="restart"/>
            <w:tcBorders>
              <w:top w:val="nil"/>
              <w:left w:val="single" w:color="auto" w:sz="4" w:space="0"/>
              <w:bottom w:val="single" w:color="000000" w:sz="4" w:space="0"/>
              <w:right w:val="single" w:color="auto" w:sz="4" w:space="0"/>
            </w:tcBorders>
            <w:noWrap w:val="0"/>
            <w:vAlign w:val="center"/>
          </w:tcPr>
          <w:p w14:paraId="3BD66516">
            <w:pPr>
              <w:jc w:val="center"/>
              <w:rPr>
                <w:rFonts w:hint="eastAsia" w:eastAsia="宋体"/>
                <w:sz w:val="20"/>
                <w:szCs w:val="20"/>
                <w:lang w:eastAsia="zh-CN"/>
              </w:rPr>
            </w:pPr>
            <w:r>
              <w:rPr>
                <w:rFonts w:hint="eastAsia"/>
                <w:sz w:val="20"/>
                <w:szCs w:val="20"/>
              </w:rPr>
              <w:t>绩</w:t>
            </w:r>
          </w:p>
          <w:p w14:paraId="07F3ECBC">
            <w:pPr>
              <w:jc w:val="center"/>
              <w:rPr>
                <w:rFonts w:hint="eastAsia" w:eastAsia="宋体"/>
                <w:sz w:val="20"/>
                <w:szCs w:val="20"/>
                <w:lang w:eastAsia="zh-CN"/>
              </w:rPr>
            </w:pPr>
            <w:r>
              <w:rPr>
                <w:rFonts w:hint="eastAsia"/>
                <w:sz w:val="20"/>
                <w:szCs w:val="20"/>
              </w:rPr>
              <w:t>效</w:t>
            </w:r>
          </w:p>
          <w:p w14:paraId="475562EA">
            <w:pPr>
              <w:jc w:val="center"/>
              <w:rPr>
                <w:rFonts w:hint="eastAsia" w:eastAsia="宋体"/>
                <w:sz w:val="20"/>
                <w:szCs w:val="20"/>
                <w:lang w:eastAsia="zh-CN"/>
              </w:rPr>
            </w:pPr>
            <w:r>
              <w:rPr>
                <w:rFonts w:hint="eastAsia"/>
                <w:sz w:val="20"/>
                <w:szCs w:val="20"/>
              </w:rPr>
              <w:t>指</w:t>
            </w:r>
          </w:p>
          <w:p w14:paraId="29D7651D">
            <w:pPr>
              <w:jc w:val="center"/>
              <w:rPr>
                <w:rFonts w:ascii="宋体" w:hAnsi="宋体" w:cs="宋体"/>
                <w:sz w:val="20"/>
                <w:szCs w:val="20"/>
              </w:rPr>
            </w:pPr>
            <w:r>
              <w:rPr>
                <w:rFonts w:hint="eastAsia"/>
                <w:sz w:val="20"/>
                <w:szCs w:val="20"/>
              </w:rPr>
              <w:t>标</w:t>
            </w:r>
          </w:p>
        </w:tc>
        <w:tc>
          <w:tcPr>
            <w:tcW w:w="820" w:type="dxa"/>
            <w:tcBorders>
              <w:top w:val="nil"/>
              <w:left w:val="nil"/>
              <w:bottom w:val="nil"/>
              <w:right w:val="single" w:color="auto" w:sz="4" w:space="0"/>
            </w:tcBorders>
            <w:noWrap w:val="0"/>
            <w:vAlign w:val="center"/>
          </w:tcPr>
          <w:p w14:paraId="4818F2B3">
            <w:pPr>
              <w:jc w:val="center"/>
              <w:rPr>
                <w:rFonts w:hint="eastAsia" w:eastAsia="宋体"/>
                <w:sz w:val="20"/>
                <w:szCs w:val="20"/>
                <w:lang w:eastAsia="zh-CN"/>
              </w:rPr>
            </w:pPr>
            <w:r>
              <w:rPr>
                <w:rFonts w:hint="eastAsia"/>
                <w:sz w:val="20"/>
                <w:szCs w:val="20"/>
              </w:rPr>
              <w:t>一级</w:t>
            </w:r>
          </w:p>
          <w:p w14:paraId="65A190B1">
            <w:pPr>
              <w:jc w:val="center"/>
              <w:rPr>
                <w:rFonts w:ascii="宋体" w:hAnsi="宋体" w:cs="宋体"/>
                <w:sz w:val="20"/>
                <w:szCs w:val="20"/>
              </w:rPr>
            </w:pPr>
            <w:r>
              <w:rPr>
                <w:rFonts w:hint="eastAsia"/>
                <w:sz w:val="20"/>
                <w:szCs w:val="20"/>
              </w:rPr>
              <w:t>指标</w:t>
            </w:r>
          </w:p>
        </w:tc>
        <w:tc>
          <w:tcPr>
            <w:tcW w:w="940" w:type="dxa"/>
            <w:tcBorders>
              <w:top w:val="nil"/>
              <w:left w:val="nil"/>
              <w:bottom w:val="single" w:color="auto" w:sz="4" w:space="0"/>
              <w:right w:val="single" w:color="auto" w:sz="4" w:space="0"/>
            </w:tcBorders>
            <w:noWrap w:val="0"/>
            <w:vAlign w:val="center"/>
          </w:tcPr>
          <w:p w14:paraId="195B7408">
            <w:pPr>
              <w:jc w:val="center"/>
              <w:rPr>
                <w:sz w:val="20"/>
                <w:szCs w:val="20"/>
              </w:rPr>
            </w:pPr>
            <w:r>
              <w:rPr>
                <w:rFonts w:hint="eastAsia"/>
                <w:sz w:val="20"/>
                <w:szCs w:val="20"/>
              </w:rPr>
              <w:t>二级</w:t>
            </w:r>
          </w:p>
          <w:p w14:paraId="63327DE8">
            <w:pPr>
              <w:jc w:val="center"/>
              <w:rPr>
                <w:rFonts w:ascii="宋体" w:hAnsi="宋体" w:cs="宋体"/>
                <w:sz w:val="20"/>
                <w:szCs w:val="20"/>
              </w:rPr>
            </w:pPr>
            <w:r>
              <w:rPr>
                <w:rFonts w:hint="eastAsia"/>
                <w:sz w:val="20"/>
                <w:szCs w:val="20"/>
              </w:rPr>
              <w:t>指标</w:t>
            </w:r>
          </w:p>
        </w:tc>
        <w:tc>
          <w:tcPr>
            <w:tcW w:w="1523" w:type="dxa"/>
            <w:tcBorders>
              <w:top w:val="nil"/>
              <w:left w:val="nil"/>
              <w:bottom w:val="single" w:color="auto" w:sz="4" w:space="0"/>
              <w:right w:val="single" w:color="auto" w:sz="4" w:space="0"/>
            </w:tcBorders>
            <w:noWrap w:val="0"/>
            <w:vAlign w:val="center"/>
          </w:tcPr>
          <w:p w14:paraId="76C707DB">
            <w:pPr>
              <w:jc w:val="center"/>
              <w:rPr>
                <w:rFonts w:ascii="宋体" w:hAnsi="宋体" w:cs="宋体"/>
                <w:sz w:val="20"/>
                <w:szCs w:val="20"/>
              </w:rPr>
            </w:pPr>
            <w:r>
              <w:rPr>
                <w:rFonts w:hint="eastAsia"/>
                <w:sz w:val="20"/>
                <w:szCs w:val="20"/>
              </w:rPr>
              <w:t>三级指标</w:t>
            </w:r>
          </w:p>
        </w:tc>
        <w:tc>
          <w:tcPr>
            <w:tcW w:w="1200" w:type="dxa"/>
            <w:tcBorders>
              <w:top w:val="nil"/>
              <w:left w:val="nil"/>
              <w:bottom w:val="single" w:color="auto" w:sz="4" w:space="0"/>
              <w:right w:val="single" w:color="auto" w:sz="4" w:space="0"/>
            </w:tcBorders>
            <w:noWrap w:val="0"/>
            <w:vAlign w:val="center"/>
          </w:tcPr>
          <w:p w14:paraId="63F2614E">
            <w:pPr>
              <w:jc w:val="center"/>
              <w:rPr>
                <w:rFonts w:ascii="宋体" w:hAnsi="宋体" w:cs="宋体"/>
                <w:sz w:val="20"/>
                <w:szCs w:val="20"/>
              </w:rPr>
            </w:pPr>
            <w:r>
              <w:rPr>
                <w:rFonts w:hint="eastAsia"/>
                <w:sz w:val="20"/>
                <w:szCs w:val="20"/>
              </w:rPr>
              <w:t>指标值</w:t>
            </w:r>
          </w:p>
        </w:tc>
        <w:tc>
          <w:tcPr>
            <w:tcW w:w="928" w:type="dxa"/>
            <w:tcBorders>
              <w:top w:val="nil"/>
              <w:left w:val="nil"/>
              <w:bottom w:val="single" w:color="auto" w:sz="4" w:space="0"/>
              <w:right w:val="single" w:color="auto" w:sz="4" w:space="0"/>
            </w:tcBorders>
            <w:noWrap w:val="0"/>
            <w:vAlign w:val="center"/>
          </w:tcPr>
          <w:p w14:paraId="78B28C27">
            <w:pPr>
              <w:jc w:val="center"/>
              <w:rPr>
                <w:rFonts w:ascii="宋体" w:hAnsi="宋体" w:cs="宋体"/>
                <w:sz w:val="20"/>
                <w:szCs w:val="20"/>
              </w:rPr>
            </w:pPr>
            <w:r>
              <w:rPr>
                <w:rFonts w:hint="eastAsia"/>
                <w:sz w:val="20"/>
                <w:szCs w:val="20"/>
              </w:rPr>
              <w:t>绩效标准</w:t>
            </w:r>
          </w:p>
        </w:tc>
        <w:tc>
          <w:tcPr>
            <w:tcW w:w="677" w:type="dxa"/>
            <w:tcBorders>
              <w:top w:val="nil"/>
              <w:left w:val="nil"/>
              <w:bottom w:val="single" w:color="auto" w:sz="4" w:space="0"/>
              <w:right w:val="single" w:color="auto" w:sz="4" w:space="0"/>
            </w:tcBorders>
            <w:noWrap w:val="0"/>
            <w:vAlign w:val="center"/>
          </w:tcPr>
          <w:p w14:paraId="39C8B3C4">
            <w:pPr>
              <w:jc w:val="center"/>
              <w:rPr>
                <w:sz w:val="20"/>
                <w:szCs w:val="20"/>
              </w:rPr>
            </w:pPr>
            <w:r>
              <w:rPr>
                <w:rFonts w:hint="eastAsia"/>
                <w:sz w:val="20"/>
                <w:szCs w:val="20"/>
              </w:rPr>
              <w:t>二级</w:t>
            </w:r>
          </w:p>
          <w:p w14:paraId="7C495E04">
            <w:pPr>
              <w:jc w:val="center"/>
              <w:rPr>
                <w:rFonts w:ascii="宋体" w:hAnsi="宋体" w:cs="宋体"/>
                <w:sz w:val="20"/>
                <w:szCs w:val="20"/>
              </w:rPr>
            </w:pPr>
            <w:r>
              <w:rPr>
                <w:rFonts w:hint="eastAsia"/>
                <w:sz w:val="20"/>
                <w:szCs w:val="20"/>
              </w:rPr>
              <w:t>指标</w:t>
            </w:r>
          </w:p>
        </w:tc>
        <w:tc>
          <w:tcPr>
            <w:tcW w:w="1140" w:type="dxa"/>
            <w:tcBorders>
              <w:top w:val="nil"/>
              <w:left w:val="nil"/>
              <w:bottom w:val="single" w:color="auto" w:sz="4" w:space="0"/>
              <w:right w:val="nil"/>
            </w:tcBorders>
            <w:noWrap w:val="0"/>
            <w:vAlign w:val="center"/>
          </w:tcPr>
          <w:p w14:paraId="57CB5190">
            <w:pPr>
              <w:jc w:val="center"/>
              <w:rPr>
                <w:rFonts w:ascii="宋体" w:hAnsi="宋体" w:cs="宋体"/>
                <w:sz w:val="20"/>
                <w:szCs w:val="20"/>
              </w:rPr>
            </w:pPr>
            <w:r>
              <w:rPr>
                <w:rFonts w:hint="eastAsia"/>
                <w:sz w:val="20"/>
                <w:szCs w:val="20"/>
              </w:rPr>
              <w:t>三级指标</w:t>
            </w:r>
          </w:p>
        </w:tc>
        <w:tc>
          <w:tcPr>
            <w:tcW w:w="840" w:type="dxa"/>
            <w:tcBorders>
              <w:top w:val="nil"/>
              <w:left w:val="single" w:color="auto" w:sz="4" w:space="0"/>
              <w:bottom w:val="single" w:color="auto" w:sz="4" w:space="0"/>
              <w:right w:val="single" w:color="auto" w:sz="4" w:space="0"/>
            </w:tcBorders>
            <w:noWrap w:val="0"/>
            <w:vAlign w:val="center"/>
          </w:tcPr>
          <w:p w14:paraId="2219C452">
            <w:pPr>
              <w:jc w:val="center"/>
              <w:rPr>
                <w:rFonts w:ascii="宋体" w:hAnsi="宋体" w:cs="宋体"/>
                <w:sz w:val="20"/>
                <w:szCs w:val="20"/>
              </w:rPr>
            </w:pPr>
            <w:r>
              <w:rPr>
                <w:rFonts w:hint="eastAsia"/>
                <w:sz w:val="20"/>
                <w:szCs w:val="20"/>
              </w:rPr>
              <w:t>指标值</w:t>
            </w:r>
          </w:p>
        </w:tc>
        <w:tc>
          <w:tcPr>
            <w:tcW w:w="840" w:type="dxa"/>
            <w:tcBorders>
              <w:top w:val="nil"/>
              <w:left w:val="nil"/>
              <w:bottom w:val="single" w:color="auto" w:sz="4" w:space="0"/>
              <w:right w:val="single" w:color="auto" w:sz="4" w:space="0"/>
            </w:tcBorders>
            <w:noWrap w:val="0"/>
            <w:vAlign w:val="center"/>
          </w:tcPr>
          <w:p w14:paraId="1733096A">
            <w:pPr>
              <w:jc w:val="center"/>
              <w:rPr>
                <w:rFonts w:ascii="宋体" w:hAnsi="宋体" w:cs="宋体"/>
                <w:sz w:val="20"/>
                <w:szCs w:val="20"/>
              </w:rPr>
            </w:pPr>
            <w:r>
              <w:rPr>
                <w:rFonts w:hint="eastAsia"/>
                <w:sz w:val="20"/>
                <w:szCs w:val="20"/>
              </w:rPr>
              <w:t>绩效标准</w:t>
            </w:r>
          </w:p>
        </w:tc>
      </w:tr>
      <w:tr w14:paraId="075181CB">
        <w:tblPrEx>
          <w:tblCellMar>
            <w:top w:w="0" w:type="dxa"/>
            <w:left w:w="108" w:type="dxa"/>
            <w:bottom w:w="0" w:type="dxa"/>
            <w:right w:w="108" w:type="dxa"/>
          </w:tblCellMar>
        </w:tblPrEx>
        <w:trPr>
          <w:trHeight w:val="1347"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673E0AB0">
            <w:pPr>
              <w:rPr>
                <w:rFonts w:ascii="宋体" w:hAnsi="宋体" w:cs="宋体"/>
                <w:sz w:val="20"/>
                <w:szCs w:val="20"/>
              </w:rPr>
            </w:pPr>
          </w:p>
        </w:tc>
        <w:tc>
          <w:tcPr>
            <w:tcW w:w="820" w:type="dxa"/>
            <w:vMerge w:val="restart"/>
            <w:tcBorders>
              <w:top w:val="single" w:color="auto" w:sz="4" w:space="0"/>
              <w:left w:val="single" w:color="auto" w:sz="4" w:space="0"/>
              <w:bottom w:val="single" w:color="auto" w:sz="4" w:space="0"/>
              <w:right w:val="single" w:color="auto" w:sz="4" w:space="0"/>
            </w:tcBorders>
            <w:noWrap w:val="0"/>
            <w:vAlign w:val="center"/>
          </w:tcPr>
          <w:p w14:paraId="1CBA3AB2">
            <w:pPr>
              <w:jc w:val="center"/>
              <w:rPr>
                <w:rFonts w:hint="eastAsia" w:eastAsia="宋体"/>
                <w:sz w:val="20"/>
                <w:szCs w:val="20"/>
                <w:lang w:eastAsia="zh-CN"/>
              </w:rPr>
            </w:pPr>
            <w:r>
              <w:rPr>
                <w:rFonts w:hint="eastAsia"/>
                <w:sz w:val="20"/>
                <w:szCs w:val="20"/>
              </w:rPr>
              <w:t>产</w:t>
            </w:r>
          </w:p>
          <w:p w14:paraId="5BF2C854">
            <w:pPr>
              <w:jc w:val="center"/>
              <w:rPr>
                <w:rFonts w:hint="eastAsia" w:eastAsia="宋体"/>
                <w:sz w:val="20"/>
                <w:szCs w:val="20"/>
                <w:lang w:eastAsia="zh-CN"/>
              </w:rPr>
            </w:pPr>
            <w:r>
              <w:rPr>
                <w:rFonts w:hint="eastAsia"/>
                <w:sz w:val="20"/>
                <w:szCs w:val="20"/>
              </w:rPr>
              <w:t>出</w:t>
            </w:r>
          </w:p>
          <w:p w14:paraId="7B69D6AA">
            <w:pPr>
              <w:jc w:val="center"/>
              <w:rPr>
                <w:rFonts w:hint="eastAsia" w:eastAsia="宋体"/>
                <w:sz w:val="20"/>
                <w:szCs w:val="20"/>
                <w:lang w:eastAsia="zh-CN"/>
              </w:rPr>
            </w:pPr>
            <w:r>
              <w:rPr>
                <w:rFonts w:hint="eastAsia"/>
                <w:sz w:val="20"/>
                <w:szCs w:val="20"/>
              </w:rPr>
              <w:t>指</w:t>
            </w:r>
          </w:p>
          <w:p w14:paraId="36E30739">
            <w:pPr>
              <w:jc w:val="center"/>
              <w:rPr>
                <w:rFonts w:ascii="宋体" w:hAnsi="宋体" w:cs="宋体"/>
                <w:sz w:val="20"/>
                <w:szCs w:val="20"/>
              </w:rPr>
            </w:pPr>
            <w:r>
              <w:rPr>
                <w:rFonts w:hint="eastAsia"/>
                <w:sz w:val="20"/>
                <w:szCs w:val="20"/>
              </w:rPr>
              <w:t>标</w:t>
            </w:r>
          </w:p>
        </w:tc>
        <w:tc>
          <w:tcPr>
            <w:tcW w:w="940" w:type="dxa"/>
            <w:tcBorders>
              <w:top w:val="nil"/>
              <w:left w:val="single" w:color="auto" w:sz="4" w:space="0"/>
              <w:bottom w:val="single" w:color="auto" w:sz="4" w:space="0"/>
              <w:right w:val="single" w:color="auto" w:sz="4" w:space="0"/>
            </w:tcBorders>
            <w:noWrap w:val="0"/>
            <w:vAlign w:val="center"/>
          </w:tcPr>
          <w:p w14:paraId="0CB44BE5">
            <w:pPr>
              <w:jc w:val="center"/>
              <w:rPr>
                <w:sz w:val="20"/>
                <w:szCs w:val="20"/>
              </w:rPr>
            </w:pPr>
            <w:r>
              <w:rPr>
                <w:rFonts w:hint="eastAsia"/>
                <w:sz w:val="20"/>
                <w:szCs w:val="20"/>
              </w:rPr>
              <w:t>数量</w:t>
            </w:r>
          </w:p>
          <w:p w14:paraId="42004C92">
            <w:pPr>
              <w:jc w:val="center"/>
              <w:rPr>
                <w:rFonts w:ascii="宋体" w:hAnsi="宋体" w:cs="宋体"/>
                <w:sz w:val="20"/>
                <w:szCs w:val="20"/>
              </w:rPr>
            </w:pPr>
            <w:r>
              <w:rPr>
                <w:rFonts w:hint="eastAsia"/>
                <w:sz w:val="20"/>
                <w:szCs w:val="20"/>
              </w:rPr>
              <w:t>指标</w:t>
            </w:r>
          </w:p>
        </w:tc>
        <w:tc>
          <w:tcPr>
            <w:tcW w:w="1523" w:type="dxa"/>
            <w:tcBorders>
              <w:top w:val="nil"/>
              <w:left w:val="nil"/>
              <w:bottom w:val="single" w:color="auto" w:sz="4" w:space="0"/>
              <w:right w:val="single" w:color="auto" w:sz="4" w:space="0"/>
            </w:tcBorders>
            <w:noWrap w:val="0"/>
            <w:vAlign w:val="top"/>
          </w:tcPr>
          <w:p w14:paraId="23788394">
            <w:pPr>
              <w:rPr>
                <w:rFonts w:ascii="宋体" w:hAnsi="宋体" w:cs="宋体"/>
                <w:sz w:val="20"/>
                <w:szCs w:val="20"/>
              </w:rPr>
            </w:pPr>
            <w:r>
              <w:rPr>
                <w:rFonts w:hint="eastAsia"/>
                <w:sz w:val="20"/>
                <w:szCs w:val="20"/>
              </w:rPr>
              <w:t xml:space="preserve"> 指标1：</w:t>
            </w:r>
            <w:r>
              <w:rPr>
                <w:rFonts w:hint="eastAsia" w:ascii="宋体" w:hAnsi="宋体" w:cs="宋体"/>
                <w:color w:val="000000"/>
                <w:kern w:val="0"/>
                <w:sz w:val="18"/>
                <w:szCs w:val="18"/>
                <w:lang w:bidi="ar"/>
              </w:rPr>
              <w:t>调解成功率</w:t>
            </w:r>
          </w:p>
        </w:tc>
        <w:tc>
          <w:tcPr>
            <w:tcW w:w="1200" w:type="dxa"/>
            <w:tcBorders>
              <w:top w:val="nil"/>
              <w:left w:val="nil"/>
              <w:bottom w:val="single" w:color="auto" w:sz="4" w:space="0"/>
              <w:right w:val="single" w:color="auto" w:sz="4" w:space="0"/>
            </w:tcBorders>
            <w:noWrap w:val="0"/>
            <w:vAlign w:val="center"/>
          </w:tcPr>
          <w:p w14:paraId="24B29D5C">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≥98%</w:t>
            </w:r>
          </w:p>
        </w:tc>
        <w:tc>
          <w:tcPr>
            <w:tcW w:w="928" w:type="dxa"/>
            <w:tcBorders>
              <w:top w:val="nil"/>
              <w:left w:val="nil"/>
              <w:bottom w:val="single" w:color="auto" w:sz="4" w:space="0"/>
              <w:right w:val="single" w:color="auto" w:sz="4" w:space="0"/>
            </w:tcBorders>
            <w:noWrap w:val="0"/>
            <w:vAlign w:val="center"/>
          </w:tcPr>
          <w:p w14:paraId="33394A16">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≥98%</w:t>
            </w:r>
          </w:p>
        </w:tc>
        <w:tc>
          <w:tcPr>
            <w:tcW w:w="677" w:type="dxa"/>
            <w:tcBorders>
              <w:top w:val="nil"/>
              <w:left w:val="single" w:color="auto" w:sz="4" w:space="0"/>
              <w:bottom w:val="single" w:color="000000" w:sz="4" w:space="0"/>
              <w:right w:val="single" w:color="auto" w:sz="4" w:space="0"/>
            </w:tcBorders>
            <w:noWrap w:val="0"/>
            <w:vAlign w:val="center"/>
          </w:tcPr>
          <w:p w14:paraId="5FD617A8">
            <w:pPr>
              <w:jc w:val="center"/>
              <w:rPr>
                <w:sz w:val="20"/>
                <w:szCs w:val="20"/>
              </w:rPr>
            </w:pPr>
            <w:r>
              <w:rPr>
                <w:rFonts w:hint="eastAsia"/>
                <w:sz w:val="20"/>
                <w:szCs w:val="20"/>
              </w:rPr>
              <w:t>数量</w:t>
            </w:r>
          </w:p>
          <w:p w14:paraId="497AB38F">
            <w:pPr>
              <w:jc w:val="center"/>
              <w:rPr>
                <w:rFonts w:ascii="宋体" w:hAnsi="宋体" w:cs="宋体"/>
                <w:sz w:val="20"/>
                <w:szCs w:val="20"/>
              </w:rPr>
            </w:pPr>
            <w:r>
              <w:rPr>
                <w:rFonts w:hint="eastAsia"/>
                <w:sz w:val="20"/>
                <w:szCs w:val="20"/>
              </w:rPr>
              <w:t>指标</w:t>
            </w:r>
          </w:p>
        </w:tc>
        <w:tc>
          <w:tcPr>
            <w:tcW w:w="1140" w:type="dxa"/>
            <w:tcBorders>
              <w:top w:val="single" w:color="auto" w:sz="4" w:space="0"/>
              <w:left w:val="single" w:color="auto" w:sz="4" w:space="0"/>
              <w:bottom w:val="single" w:color="auto" w:sz="4" w:space="0"/>
              <w:right w:val="single" w:color="auto" w:sz="4" w:space="0"/>
            </w:tcBorders>
            <w:noWrap w:val="0"/>
            <w:vAlign w:val="top"/>
          </w:tcPr>
          <w:p w14:paraId="151DC133">
            <w:pPr>
              <w:rPr>
                <w:rFonts w:ascii="宋体" w:hAnsi="宋体" w:cs="宋体"/>
                <w:kern w:val="2"/>
                <w:sz w:val="20"/>
                <w:szCs w:val="20"/>
                <w:lang w:val="en-US" w:eastAsia="zh-CN" w:bidi="ar-SA"/>
              </w:rPr>
            </w:pPr>
            <w:r>
              <w:rPr>
                <w:rFonts w:hint="eastAsia"/>
                <w:sz w:val="20"/>
                <w:szCs w:val="20"/>
              </w:rPr>
              <w:t xml:space="preserve"> 指标1：</w:t>
            </w:r>
            <w:r>
              <w:rPr>
                <w:rFonts w:hint="eastAsia" w:ascii="宋体" w:hAnsi="宋体" w:cs="宋体"/>
                <w:color w:val="000000"/>
                <w:kern w:val="0"/>
                <w:sz w:val="18"/>
                <w:szCs w:val="18"/>
                <w:lang w:bidi="ar"/>
              </w:rPr>
              <w:t>调解成功率</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32DF4790">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≥98%</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4B6918E2">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≥98%</w:t>
            </w:r>
          </w:p>
        </w:tc>
      </w:tr>
      <w:tr w14:paraId="64EDD6AC">
        <w:tblPrEx>
          <w:tblCellMar>
            <w:top w:w="0" w:type="dxa"/>
            <w:left w:w="108" w:type="dxa"/>
            <w:bottom w:w="0" w:type="dxa"/>
            <w:right w:w="108" w:type="dxa"/>
          </w:tblCellMar>
        </w:tblPrEx>
        <w:trPr>
          <w:trHeight w:val="1245"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4E091B7A">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noWrap w:val="0"/>
            <w:vAlign w:val="center"/>
          </w:tcPr>
          <w:p w14:paraId="7BD5FBD2">
            <w:pPr>
              <w:rPr>
                <w:rFonts w:ascii="宋体" w:hAnsi="宋体" w:cs="宋体"/>
                <w:sz w:val="20"/>
                <w:szCs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1FC5B2FF">
            <w:pPr>
              <w:jc w:val="center"/>
              <w:rPr>
                <w:sz w:val="20"/>
                <w:szCs w:val="20"/>
              </w:rPr>
            </w:pPr>
            <w:r>
              <w:rPr>
                <w:rFonts w:hint="eastAsia"/>
                <w:sz w:val="20"/>
                <w:szCs w:val="20"/>
              </w:rPr>
              <w:t>质量</w:t>
            </w:r>
          </w:p>
          <w:p w14:paraId="76B99906">
            <w:pPr>
              <w:jc w:val="center"/>
              <w:rPr>
                <w:rFonts w:ascii="宋体" w:hAnsi="宋体" w:cs="宋体"/>
                <w:sz w:val="20"/>
                <w:szCs w:val="20"/>
              </w:rPr>
            </w:pPr>
            <w:r>
              <w:rPr>
                <w:rFonts w:hint="eastAsia"/>
                <w:sz w:val="20"/>
                <w:szCs w:val="20"/>
              </w:rPr>
              <w:t>指标</w:t>
            </w:r>
          </w:p>
        </w:tc>
        <w:tc>
          <w:tcPr>
            <w:tcW w:w="1523" w:type="dxa"/>
            <w:tcBorders>
              <w:top w:val="single" w:color="auto" w:sz="4" w:space="0"/>
              <w:left w:val="single" w:color="auto" w:sz="4" w:space="0"/>
              <w:bottom w:val="single" w:color="auto" w:sz="4" w:space="0"/>
              <w:right w:val="single" w:color="auto" w:sz="4" w:space="0"/>
            </w:tcBorders>
            <w:noWrap w:val="0"/>
            <w:vAlign w:val="top"/>
          </w:tcPr>
          <w:p w14:paraId="2FE2BB3D">
            <w:pPr>
              <w:rPr>
                <w:rFonts w:ascii="宋体" w:hAnsi="宋体" w:cs="宋体"/>
                <w:sz w:val="20"/>
                <w:szCs w:val="20"/>
              </w:rPr>
            </w:pPr>
            <w:r>
              <w:rPr>
                <w:rFonts w:hint="eastAsia"/>
                <w:sz w:val="20"/>
                <w:szCs w:val="20"/>
              </w:rPr>
              <w:t>指标1：</w:t>
            </w:r>
            <w:r>
              <w:rPr>
                <w:rFonts w:hint="eastAsia" w:ascii="宋体" w:hAnsi="宋体" w:cs="宋体"/>
                <w:color w:val="000000"/>
                <w:kern w:val="0"/>
                <w:sz w:val="18"/>
                <w:szCs w:val="18"/>
                <w:lang w:bidi="ar"/>
              </w:rPr>
              <w:t>社区矫正对象帮扶率</w:t>
            </w:r>
          </w:p>
        </w:tc>
        <w:tc>
          <w:tcPr>
            <w:tcW w:w="1200" w:type="dxa"/>
            <w:tcBorders>
              <w:top w:val="single" w:color="auto" w:sz="4" w:space="0"/>
              <w:left w:val="nil"/>
              <w:bottom w:val="nil"/>
              <w:right w:val="single" w:color="auto" w:sz="4" w:space="0"/>
            </w:tcBorders>
            <w:noWrap w:val="0"/>
            <w:vAlign w:val="center"/>
          </w:tcPr>
          <w:p w14:paraId="76D85C27">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≥10%</w:t>
            </w:r>
          </w:p>
        </w:tc>
        <w:tc>
          <w:tcPr>
            <w:tcW w:w="928" w:type="dxa"/>
            <w:tcBorders>
              <w:top w:val="single" w:color="auto" w:sz="4" w:space="0"/>
              <w:left w:val="nil"/>
              <w:bottom w:val="nil"/>
              <w:right w:val="single" w:color="auto" w:sz="4" w:space="0"/>
            </w:tcBorders>
            <w:noWrap w:val="0"/>
            <w:vAlign w:val="center"/>
          </w:tcPr>
          <w:p w14:paraId="2A6A30F2">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677" w:type="dxa"/>
            <w:tcBorders>
              <w:top w:val="nil"/>
              <w:left w:val="single" w:color="auto" w:sz="4" w:space="0"/>
              <w:bottom w:val="single" w:color="000000" w:sz="4" w:space="0"/>
              <w:right w:val="single" w:color="auto" w:sz="4" w:space="0"/>
            </w:tcBorders>
            <w:noWrap w:val="0"/>
            <w:vAlign w:val="center"/>
          </w:tcPr>
          <w:p w14:paraId="5767C14E">
            <w:pPr>
              <w:jc w:val="center"/>
              <w:rPr>
                <w:sz w:val="20"/>
                <w:szCs w:val="20"/>
              </w:rPr>
            </w:pPr>
            <w:r>
              <w:rPr>
                <w:rFonts w:hint="eastAsia"/>
                <w:sz w:val="20"/>
                <w:szCs w:val="20"/>
              </w:rPr>
              <w:t>质量</w:t>
            </w:r>
          </w:p>
          <w:p w14:paraId="2921AF58">
            <w:pPr>
              <w:jc w:val="center"/>
              <w:rPr>
                <w:rFonts w:ascii="宋体" w:hAnsi="宋体" w:cs="宋体"/>
                <w:sz w:val="20"/>
                <w:szCs w:val="20"/>
              </w:rPr>
            </w:pPr>
            <w:r>
              <w:rPr>
                <w:rFonts w:hint="eastAsia"/>
                <w:sz w:val="20"/>
                <w:szCs w:val="20"/>
              </w:rPr>
              <w:t>指标</w:t>
            </w:r>
          </w:p>
        </w:tc>
        <w:tc>
          <w:tcPr>
            <w:tcW w:w="1140" w:type="dxa"/>
            <w:tcBorders>
              <w:top w:val="single" w:color="auto" w:sz="4" w:space="0"/>
              <w:left w:val="single" w:color="auto" w:sz="4" w:space="0"/>
              <w:bottom w:val="single" w:color="auto" w:sz="4" w:space="0"/>
              <w:right w:val="single" w:color="auto" w:sz="4" w:space="0"/>
            </w:tcBorders>
            <w:noWrap w:val="0"/>
            <w:vAlign w:val="top"/>
          </w:tcPr>
          <w:p w14:paraId="7D99D8BD">
            <w:pPr>
              <w:rPr>
                <w:rFonts w:ascii="宋体" w:hAnsi="宋体" w:cs="宋体"/>
                <w:kern w:val="2"/>
                <w:sz w:val="20"/>
                <w:szCs w:val="20"/>
                <w:lang w:val="en-US" w:eastAsia="zh-CN" w:bidi="ar-SA"/>
              </w:rPr>
            </w:pPr>
            <w:r>
              <w:rPr>
                <w:rFonts w:hint="eastAsia"/>
                <w:sz w:val="20"/>
                <w:szCs w:val="20"/>
              </w:rPr>
              <w:t>指标1：</w:t>
            </w:r>
            <w:r>
              <w:rPr>
                <w:rFonts w:hint="eastAsia" w:ascii="宋体" w:hAnsi="宋体" w:cs="宋体"/>
                <w:color w:val="000000"/>
                <w:kern w:val="0"/>
                <w:sz w:val="18"/>
                <w:szCs w:val="18"/>
                <w:lang w:bidi="ar"/>
              </w:rPr>
              <w:t>社区矫正对象帮扶率</w:t>
            </w:r>
          </w:p>
        </w:tc>
        <w:tc>
          <w:tcPr>
            <w:tcW w:w="840" w:type="dxa"/>
            <w:tcBorders>
              <w:top w:val="single" w:color="auto" w:sz="4" w:space="0"/>
              <w:left w:val="nil"/>
              <w:bottom w:val="single" w:color="auto" w:sz="4" w:space="0"/>
              <w:right w:val="single" w:color="auto" w:sz="4" w:space="0"/>
            </w:tcBorders>
            <w:noWrap w:val="0"/>
            <w:vAlign w:val="center"/>
          </w:tcPr>
          <w:p w14:paraId="334F5CBE">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840" w:type="dxa"/>
            <w:tcBorders>
              <w:top w:val="single" w:color="auto" w:sz="4" w:space="0"/>
              <w:left w:val="nil"/>
              <w:bottom w:val="single" w:color="auto" w:sz="4" w:space="0"/>
              <w:right w:val="single" w:color="auto" w:sz="4" w:space="0"/>
            </w:tcBorders>
            <w:noWrap w:val="0"/>
            <w:vAlign w:val="center"/>
          </w:tcPr>
          <w:p w14:paraId="3CD35A0D">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w:t>
            </w:r>
          </w:p>
        </w:tc>
      </w:tr>
      <w:tr w14:paraId="6E014E1F">
        <w:tblPrEx>
          <w:tblCellMar>
            <w:top w:w="0" w:type="dxa"/>
            <w:left w:w="108" w:type="dxa"/>
            <w:bottom w:w="0" w:type="dxa"/>
            <w:right w:w="108" w:type="dxa"/>
          </w:tblCellMar>
        </w:tblPrEx>
        <w:trPr>
          <w:trHeight w:val="2121"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508B8CE4">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noWrap w:val="0"/>
            <w:vAlign w:val="center"/>
          </w:tcPr>
          <w:p w14:paraId="3FC03192">
            <w:pPr>
              <w:rPr>
                <w:rFonts w:ascii="宋体" w:hAnsi="宋体" w:cs="宋体"/>
                <w:sz w:val="20"/>
                <w:szCs w:val="20"/>
              </w:rPr>
            </w:pPr>
          </w:p>
        </w:tc>
        <w:tc>
          <w:tcPr>
            <w:tcW w:w="940" w:type="dxa"/>
            <w:tcBorders>
              <w:top w:val="single" w:color="auto" w:sz="4" w:space="0"/>
              <w:left w:val="single" w:color="auto" w:sz="4" w:space="0"/>
              <w:bottom w:val="nil"/>
              <w:right w:val="single" w:color="auto" w:sz="4" w:space="0"/>
            </w:tcBorders>
            <w:noWrap w:val="0"/>
            <w:vAlign w:val="center"/>
          </w:tcPr>
          <w:p w14:paraId="02AB637A">
            <w:pPr>
              <w:jc w:val="center"/>
              <w:rPr>
                <w:sz w:val="20"/>
                <w:szCs w:val="20"/>
              </w:rPr>
            </w:pPr>
            <w:r>
              <w:rPr>
                <w:rFonts w:hint="eastAsia"/>
                <w:sz w:val="20"/>
                <w:szCs w:val="20"/>
              </w:rPr>
              <w:t>时效</w:t>
            </w:r>
          </w:p>
          <w:p w14:paraId="47B0F926">
            <w:pPr>
              <w:jc w:val="center"/>
              <w:rPr>
                <w:rFonts w:ascii="宋体" w:hAnsi="宋体" w:cs="宋体"/>
                <w:sz w:val="20"/>
                <w:szCs w:val="20"/>
              </w:rPr>
            </w:pPr>
            <w:r>
              <w:rPr>
                <w:rFonts w:hint="eastAsia"/>
                <w:sz w:val="20"/>
                <w:szCs w:val="20"/>
              </w:rPr>
              <w:t>指标</w:t>
            </w:r>
          </w:p>
        </w:tc>
        <w:tc>
          <w:tcPr>
            <w:tcW w:w="1523" w:type="dxa"/>
            <w:tcBorders>
              <w:top w:val="single" w:color="auto" w:sz="4" w:space="0"/>
              <w:left w:val="nil"/>
              <w:bottom w:val="nil"/>
              <w:right w:val="single" w:color="auto" w:sz="4" w:space="0"/>
            </w:tcBorders>
            <w:noWrap w:val="0"/>
            <w:vAlign w:val="center"/>
          </w:tcPr>
          <w:p w14:paraId="00A4FFDE">
            <w:pPr>
              <w:rPr>
                <w:rFonts w:ascii="宋体" w:hAnsi="宋体" w:cs="宋体"/>
                <w:sz w:val="20"/>
                <w:szCs w:val="20"/>
              </w:rPr>
            </w:pPr>
            <w:r>
              <w:rPr>
                <w:rFonts w:hint="eastAsia"/>
                <w:sz w:val="20"/>
                <w:szCs w:val="20"/>
              </w:rPr>
              <w:t>指标1：是否资金及时到位</w:t>
            </w:r>
          </w:p>
        </w:tc>
        <w:tc>
          <w:tcPr>
            <w:tcW w:w="1200" w:type="dxa"/>
            <w:tcBorders>
              <w:top w:val="single" w:color="auto" w:sz="4" w:space="0"/>
              <w:left w:val="nil"/>
              <w:bottom w:val="nil"/>
              <w:right w:val="single" w:color="auto" w:sz="4" w:space="0"/>
            </w:tcBorders>
            <w:noWrap w:val="0"/>
            <w:vAlign w:val="center"/>
          </w:tcPr>
          <w:p w14:paraId="00918900">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按照年度预算安排，资金拨付到位</w:t>
            </w:r>
          </w:p>
        </w:tc>
        <w:tc>
          <w:tcPr>
            <w:tcW w:w="928" w:type="dxa"/>
            <w:tcBorders>
              <w:top w:val="single" w:color="auto" w:sz="4" w:space="0"/>
              <w:left w:val="nil"/>
              <w:bottom w:val="nil"/>
              <w:right w:val="single" w:color="auto" w:sz="4" w:space="0"/>
            </w:tcBorders>
            <w:noWrap w:val="0"/>
            <w:vAlign w:val="center"/>
          </w:tcPr>
          <w:p w14:paraId="73EAA7C2">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按照年度预算安排，资金拨付到位</w:t>
            </w:r>
          </w:p>
        </w:tc>
        <w:tc>
          <w:tcPr>
            <w:tcW w:w="677" w:type="dxa"/>
            <w:tcBorders>
              <w:top w:val="nil"/>
              <w:left w:val="single" w:color="auto" w:sz="4" w:space="0"/>
              <w:bottom w:val="single" w:color="000000" w:sz="4" w:space="0"/>
              <w:right w:val="single" w:color="auto" w:sz="4" w:space="0"/>
            </w:tcBorders>
            <w:noWrap w:val="0"/>
            <w:vAlign w:val="center"/>
          </w:tcPr>
          <w:p w14:paraId="1C428D99">
            <w:pPr>
              <w:jc w:val="center"/>
              <w:rPr>
                <w:sz w:val="20"/>
                <w:szCs w:val="20"/>
              </w:rPr>
            </w:pPr>
            <w:r>
              <w:rPr>
                <w:rFonts w:hint="eastAsia"/>
                <w:sz w:val="20"/>
                <w:szCs w:val="20"/>
              </w:rPr>
              <w:t>时效</w:t>
            </w:r>
          </w:p>
          <w:p w14:paraId="499EF572">
            <w:pPr>
              <w:jc w:val="center"/>
              <w:rPr>
                <w:rFonts w:ascii="宋体" w:hAnsi="宋体" w:cs="宋体"/>
                <w:sz w:val="20"/>
                <w:szCs w:val="20"/>
              </w:rPr>
            </w:pPr>
            <w:r>
              <w:rPr>
                <w:rFonts w:hint="eastAsia"/>
                <w:sz w:val="20"/>
                <w:szCs w:val="20"/>
              </w:rPr>
              <w:t>指标</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FFD740A">
            <w:pPr>
              <w:rPr>
                <w:rFonts w:ascii="宋体" w:hAnsi="宋体" w:cs="宋体"/>
                <w:kern w:val="2"/>
                <w:sz w:val="20"/>
                <w:szCs w:val="20"/>
                <w:lang w:val="en-US" w:eastAsia="zh-CN" w:bidi="ar-SA"/>
              </w:rPr>
            </w:pPr>
            <w:r>
              <w:rPr>
                <w:rFonts w:hint="eastAsia"/>
                <w:sz w:val="20"/>
                <w:szCs w:val="20"/>
              </w:rPr>
              <w:t>指标1：是否资金及时到位</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37609D5D">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按照年度预算安排，资金拨付到位</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691D38F0">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按照年度预算安排，资金拨付到位</w:t>
            </w:r>
          </w:p>
        </w:tc>
      </w:tr>
      <w:tr w14:paraId="1D555570">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auto" w:sz="4" w:space="0"/>
              <w:right w:val="single" w:color="auto" w:sz="4" w:space="0"/>
            </w:tcBorders>
            <w:noWrap w:val="0"/>
            <w:vAlign w:val="center"/>
          </w:tcPr>
          <w:p w14:paraId="2D89F698">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noWrap w:val="0"/>
            <w:vAlign w:val="center"/>
          </w:tcPr>
          <w:p w14:paraId="135D3270">
            <w:pPr>
              <w:rPr>
                <w:rFonts w:ascii="宋体" w:hAnsi="宋体" w:cs="宋体"/>
                <w:sz w:val="20"/>
                <w:szCs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5FC8A529">
            <w:pPr>
              <w:jc w:val="center"/>
              <w:rPr>
                <w:sz w:val="20"/>
                <w:szCs w:val="20"/>
              </w:rPr>
            </w:pPr>
            <w:r>
              <w:rPr>
                <w:rFonts w:hint="eastAsia"/>
                <w:sz w:val="20"/>
                <w:szCs w:val="20"/>
              </w:rPr>
              <w:t>成本</w:t>
            </w:r>
          </w:p>
          <w:p w14:paraId="0B504767">
            <w:pPr>
              <w:jc w:val="center"/>
              <w:rPr>
                <w:rFonts w:ascii="宋体" w:hAnsi="宋体" w:cs="宋体"/>
                <w:sz w:val="20"/>
                <w:szCs w:val="20"/>
              </w:rPr>
            </w:pPr>
            <w:r>
              <w:rPr>
                <w:rFonts w:hint="eastAsia"/>
                <w:sz w:val="20"/>
                <w:szCs w:val="20"/>
              </w:rPr>
              <w:t>指标</w:t>
            </w:r>
          </w:p>
        </w:tc>
        <w:tc>
          <w:tcPr>
            <w:tcW w:w="1523" w:type="dxa"/>
            <w:tcBorders>
              <w:top w:val="single" w:color="auto" w:sz="4" w:space="0"/>
              <w:left w:val="nil"/>
              <w:bottom w:val="single" w:color="auto" w:sz="4" w:space="0"/>
              <w:right w:val="single" w:color="auto" w:sz="4" w:space="0"/>
            </w:tcBorders>
            <w:noWrap w:val="0"/>
            <w:vAlign w:val="center"/>
          </w:tcPr>
          <w:p w14:paraId="33B9FA26">
            <w:pPr>
              <w:rPr>
                <w:rFonts w:ascii="宋体" w:hAnsi="宋体" w:cs="宋体"/>
                <w:sz w:val="20"/>
                <w:szCs w:val="20"/>
              </w:rPr>
            </w:pPr>
            <w:r>
              <w:rPr>
                <w:rFonts w:hint="eastAsia"/>
                <w:sz w:val="20"/>
                <w:szCs w:val="20"/>
              </w:rPr>
              <w:t xml:space="preserve"> 指标1：是否在预定成本控制范围</w:t>
            </w:r>
          </w:p>
        </w:tc>
        <w:tc>
          <w:tcPr>
            <w:tcW w:w="1200" w:type="dxa"/>
            <w:tcBorders>
              <w:top w:val="single" w:color="auto" w:sz="4" w:space="0"/>
              <w:left w:val="nil"/>
              <w:bottom w:val="single" w:color="auto" w:sz="4" w:space="0"/>
              <w:right w:val="single" w:color="auto" w:sz="4" w:space="0"/>
            </w:tcBorders>
            <w:noWrap w:val="0"/>
            <w:vAlign w:val="center"/>
          </w:tcPr>
          <w:p w14:paraId="6FAE6805">
            <w:pPr>
              <w:rPr>
                <w:rFonts w:ascii="宋体" w:hAnsi="宋体" w:cs="宋体"/>
                <w:sz w:val="20"/>
                <w:szCs w:val="20"/>
              </w:rPr>
            </w:pPr>
            <w:r>
              <w:rPr>
                <w:rFonts w:hint="eastAsia"/>
                <w:sz w:val="20"/>
                <w:szCs w:val="20"/>
              </w:rPr>
              <w:t>严格控制成本，不超年度预算</w:t>
            </w:r>
          </w:p>
        </w:tc>
        <w:tc>
          <w:tcPr>
            <w:tcW w:w="928" w:type="dxa"/>
            <w:tcBorders>
              <w:top w:val="single" w:color="auto" w:sz="4" w:space="0"/>
              <w:left w:val="nil"/>
              <w:bottom w:val="single" w:color="auto" w:sz="4" w:space="0"/>
              <w:right w:val="single" w:color="auto" w:sz="4" w:space="0"/>
            </w:tcBorders>
            <w:noWrap w:val="0"/>
            <w:vAlign w:val="center"/>
          </w:tcPr>
          <w:p w14:paraId="684F1273">
            <w:pPr>
              <w:rPr>
                <w:rFonts w:ascii="宋体" w:hAnsi="宋体" w:cs="宋体"/>
                <w:kern w:val="2"/>
                <w:sz w:val="20"/>
                <w:szCs w:val="20"/>
                <w:lang w:val="en-US" w:eastAsia="zh-CN" w:bidi="ar-SA"/>
              </w:rPr>
            </w:pPr>
            <w:r>
              <w:rPr>
                <w:rFonts w:hint="eastAsia"/>
                <w:sz w:val="20"/>
                <w:szCs w:val="20"/>
              </w:rPr>
              <w:t>严格控制成本，不超年度预算</w:t>
            </w:r>
          </w:p>
        </w:tc>
        <w:tc>
          <w:tcPr>
            <w:tcW w:w="677" w:type="dxa"/>
            <w:tcBorders>
              <w:top w:val="nil"/>
              <w:left w:val="single" w:color="auto" w:sz="4" w:space="0"/>
              <w:bottom w:val="single" w:color="auto" w:sz="4" w:space="0"/>
              <w:right w:val="single" w:color="auto" w:sz="4" w:space="0"/>
            </w:tcBorders>
            <w:noWrap w:val="0"/>
            <w:vAlign w:val="center"/>
          </w:tcPr>
          <w:p w14:paraId="10BCD618">
            <w:pPr>
              <w:jc w:val="center"/>
              <w:rPr>
                <w:sz w:val="20"/>
                <w:szCs w:val="20"/>
              </w:rPr>
            </w:pPr>
            <w:r>
              <w:rPr>
                <w:rFonts w:hint="eastAsia"/>
                <w:sz w:val="20"/>
                <w:szCs w:val="20"/>
              </w:rPr>
              <w:t>成本</w:t>
            </w:r>
          </w:p>
          <w:p w14:paraId="2F6C5987">
            <w:pPr>
              <w:jc w:val="center"/>
              <w:rPr>
                <w:rFonts w:ascii="宋体" w:hAnsi="宋体" w:cs="宋体"/>
                <w:sz w:val="20"/>
                <w:szCs w:val="20"/>
              </w:rPr>
            </w:pPr>
            <w:r>
              <w:rPr>
                <w:rFonts w:hint="eastAsia"/>
                <w:sz w:val="20"/>
                <w:szCs w:val="20"/>
              </w:rPr>
              <w:t>指标</w:t>
            </w:r>
          </w:p>
        </w:tc>
        <w:tc>
          <w:tcPr>
            <w:tcW w:w="1140" w:type="dxa"/>
            <w:tcBorders>
              <w:top w:val="single" w:color="auto" w:sz="4" w:space="0"/>
              <w:left w:val="nil"/>
              <w:bottom w:val="single" w:color="auto" w:sz="4" w:space="0"/>
              <w:right w:val="single" w:color="auto" w:sz="4" w:space="0"/>
            </w:tcBorders>
            <w:noWrap w:val="0"/>
            <w:vAlign w:val="center"/>
          </w:tcPr>
          <w:p w14:paraId="30BEEAE6">
            <w:pPr>
              <w:rPr>
                <w:rFonts w:ascii="宋体" w:hAnsi="宋体" w:cs="宋体"/>
                <w:kern w:val="2"/>
                <w:sz w:val="20"/>
                <w:szCs w:val="20"/>
                <w:lang w:val="en-US" w:eastAsia="zh-CN" w:bidi="ar-SA"/>
              </w:rPr>
            </w:pPr>
            <w:r>
              <w:rPr>
                <w:rFonts w:hint="eastAsia"/>
                <w:sz w:val="20"/>
                <w:szCs w:val="20"/>
              </w:rPr>
              <w:t xml:space="preserve"> 指标1：是否在预定成本控制范围</w:t>
            </w:r>
          </w:p>
        </w:tc>
        <w:tc>
          <w:tcPr>
            <w:tcW w:w="840" w:type="dxa"/>
            <w:tcBorders>
              <w:top w:val="single" w:color="auto" w:sz="4" w:space="0"/>
              <w:left w:val="nil"/>
              <w:bottom w:val="single" w:color="auto" w:sz="4" w:space="0"/>
              <w:right w:val="single" w:color="auto" w:sz="4" w:space="0"/>
            </w:tcBorders>
            <w:noWrap w:val="0"/>
            <w:vAlign w:val="center"/>
          </w:tcPr>
          <w:p w14:paraId="2ED9FF22">
            <w:pPr>
              <w:rPr>
                <w:rFonts w:ascii="宋体" w:hAnsi="宋体" w:cs="宋体"/>
                <w:kern w:val="2"/>
                <w:sz w:val="20"/>
                <w:szCs w:val="20"/>
                <w:lang w:val="en-US" w:eastAsia="zh-CN" w:bidi="ar-SA"/>
              </w:rPr>
            </w:pPr>
            <w:r>
              <w:rPr>
                <w:rFonts w:hint="eastAsia"/>
                <w:sz w:val="20"/>
                <w:szCs w:val="20"/>
              </w:rPr>
              <w:t>严格控制成本，不超年度预算</w:t>
            </w:r>
          </w:p>
        </w:tc>
        <w:tc>
          <w:tcPr>
            <w:tcW w:w="840" w:type="dxa"/>
            <w:tcBorders>
              <w:top w:val="single" w:color="auto" w:sz="4" w:space="0"/>
              <w:left w:val="nil"/>
              <w:bottom w:val="single" w:color="auto" w:sz="4" w:space="0"/>
              <w:right w:val="single" w:color="auto" w:sz="4" w:space="0"/>
            </w:tcBorders>
            <w:noWrap w:val="0"/>
            <w:vAlign w:val="center"/>
          </w:tcPr>
          <w:p w14:paraId="3C77A719">
            <w:pPr>
              <w:rPr>
                <w:rFonts w:ascii="宋体" w:hAnsi="宋体" w:cs="宋体"/>
                <w:kern w:val="2"/>
                <w:sz w:val="20"/>
                <w:szCs w:val="20"/>
                <w:lang w:val="en-US" w:eastAsia="zh-CN" w:bidi="ar-SA"/>
              </w:rPr>
            </w:pPr>
            <w:r>
              <w:rPr>
                <w:rFonts w:hint="eastAsia"/>
                <w:sz w:val="20"/>
                <w:szCs w:val="20"/>
              </w:rPr>
              <w:t>严格控制成本，不超年度预算</w:t>
            </w:r>
          </w:p>
        </w:tc>
      </w:tr>
      <w:tr w14:paraId="55FDD3DE">
        <w:tblPrEx>
          <w:tblCellMar>
            <w:top w:w="0" w:type="dxa"/>
            <w:left w:w="108" w:type="dxa"/>
            <w:bottom w:w="0" w:type="dxa"/>
            <w:right w:w="108" w:type="dxa"/>
          </w:tblCellMar>
        </w:tblPrEx>
        <w:trPr>
          <w:trHeight w:val="2181" w:hRule="atLeast"/>
        </w:trPr>
        <w:tc>
          <w:tcPr>
            <w:tcW w:w="416" w:type="dxa"/>
            <w:vMerge w:val="continue"/>
            <w:tcBorders>
              <w:top w:val="single" w:color="auto" w:sz="4" w:space="0"/>
              <w:left w:val="single" w:color="auto" w:sz="4" w:space="0"/>
              <w:bottom w:val="single" w:color="auto" w:sz="4" w:space="0"/>
              <w:right w:val="single" w:color="auto" w:sz="4" w:space="0"/>
            </w:tcBorders>
            <w:noWrap w:val="0"/>
            <w:vAlign w:val="center"/>
          </w:tcPr>
          <w:p w14:paraId="0FB48FED">
            <w:pPr>
              <w:rPr>
                <w:rFonts w:ascii="宋体" w:hAnsi="宋体" w:cs="宋体"/>
                <w:sz w:val="20"/>
                <w:szCs w:val="20"/>
              </w:rPr>
            </w:pPr>
          </w:p>
        </w:tc>
        <w:tc>
          <w:tcPr>
            <w:tcW w:w="820" w:type="dxa"/>
            <w:vMerge w:val="restart"/>
            <w:tcBorders>
              <w:top w:val="single" w:color="auto" w:sz="4" w:space="0"/>
              <w:left w:val="single" w:color="auto" w:sz="4" w:space="0"/>
              <w:bottom w:val="single" w:color="auto" w:sz="4" w:space="0"/>
              <w:right w:val="single" w:color="auto" w:sz="4" w:space="0"/>
            </w:tcBorders>
            <w:noWrap w:val="0"/>
            <w:vAlign w:val="center"/>
          </w:tcPr>
          <w:p w14:paraId="37B88109">
            <w:pPr>
              <w:jc w:val="center"/>
              <w:rPr>
                <w:rFonts w:hint="eastAsia" w:eastAsia="宋体"/>
                <w:sz w:val="20"/>
                <w:szCs w:val="20"/>
                <w:lang w:eastAsia="zh-CN"/>
              </w:rPr>
            </w:pPr>
            <w:r>
              <w:rPr>
                <w:rFonts w:hint="eastAsia"/>
                <w:sz w:val="20"/>
                <w:szCs w:val="20"/>
              </w:rPr>
              <w:t>效</w:t>
            </w:r>
          </w:p>
          <w:p w14:paraId="639241D7">
            <w:pPr>
              <w:jc w:val="center"/>
              <w:rPr>
                <w:rFonts w:hint="eastAsia" w:eastAsia="宋体"/>
                <w:sz w:val="20"/>
                <w:szCs w:val="20"/>
                <w:lang w:eastAsia="zh-CN"/>
              </w:rPr>
            </w:pPr>
            <w:r>
              <w:rPr>
                <w:rFonts w:hint="eastAsia"/>
                <w:sz w:val="20"/>
                <w:szCs w:val="20"/>
              </w:rPr>
              <w:t>益</w:t>
            </w:r>
          </w:p>
          <w:p w14:paraId="36E69393">
            <w:pPr>
              <w:jc w:val="center"/>
              <w:rPr>
                <w:rFonts w:hint="eastAsia" w:eastAsia="宋体"/>
                <w:sz w:val="20"/>
                <w:szCs w:val="20"/>
                <w:lang w:eastAsia="zh-CN"/>
              </w:rPr>
            </w:pPr>
            <w:r>
              <w:rPr>
                <w:rFonts w:hint="eastAsia"/>
                <w:sz w:val="20"/>
                <w:szCs w:val="20"/>
              </w:rPr>
              <w:t>指</w:t>
            </w:r>
          </w:p>
          <w:p w14:paraId="79BFF4F8">
            <w:pPr>
              <w:jc w:val="center"/>
              <w:rPr>
                <w:rFonts w:ascii="宋体" w:hAnsi="宋体" w:cs="宋体"/>
                <w:sz w:val="20"/>
                <w:szCs w:val="20"/>
              </w:rPr>
            </w:pPr>
            <w:r>
              <w:rPr>
                <w:rFonts w:hint="eastAsia"/>
                <w:sz w:val="20"/>
                <w:szCs w:val="20"/>
              </w:rPr>
              <w:t>标</w:t>
            </w:r>
          </w:p>
        </w:tc>
        <w:tc>
          <w:tcPr>
            <w:tcW w:w="940" w:type="dxa"/>
            <w:tcBorders>
              <w:top w:val="single" w:color="auto" w:sz="4" w:space="0"/>
              <w:left w:val="single" w:color="auto" w:sz="4" w:space="0"/>
              <w:bottom w:val="single" w:color="auto" w:sz="4" w:space="0"/>
              <w:right w:val="single" w:color="auto" w:sz="4" w:space="0"/>
            </w:tcBorders>
            <w:noWrap w:val="0"/>
            <w:vAlign w:val="center"/>
          </w:tcPr>
          <w:p w14:paraId="0751C5F1">
            <w:pPr>
              <w:jc w:val="center"/>
              <w:rPr>
                <w:rFonts w:ascii="宋体" w:hAnsi="宋体" w:cs="宋体"/>
                <w:sz w:val="20"/>
                <w:szCs w:val="20"/>
              </w:rPr>
            </w:pPr>
            <w:r>
              <w:rPr>
                <w:rFonts w:hint="eastAsia"/>
                <w:sz w:val="20"/>
                <w:szCs w:val="20"/>
              </w:rPr>
              <w:t>经济效益指标</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31732907">
            <w:pPr>
              <w:rPr>
                <w:rFonts w:ascii="宋体" w:hAnsi="宋体" w:cs="宋体"/>
                <w:sz w:val="20"/>
                <w:szCs w:val="20"/>
              </w:rPr>
            </w:pPr>
            <w:r>
              <w:rPr>
                <w:rFonts w:hint="eastAsia" w:ascii="宋体" w:hAnsi="宋体" w:cs="宋体"/>
                <w:color w:val="000000"/>
                <w:kern w:val="0"/>
                <w:sz w:val="18"/>
                <w:szCs w:val="18"/>
                <w:lang w:bidi="ar"/>
              </w:rPr>
              <w:t>项目实施不产生经济价值</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02D4C3B">
            <w:pPr>
              <w:rPr>
                <w:rFonts w:hint="eastAsia"/>
                <w:sz w:val="20"/>
                <w:szCs w:val="20"/>
              </w:rPr>
            </w:pPr>
            <w:r>
              <w:rPr>
                <w:rFonts w:hint="eastAsia"/>
                <w:sz w:val="20"/>
                <w:szCs w:val="20"/>
              </w:rPr>
              <w:t>提供全方位的法律服务，保证了项目的顺利进行</w:t>
            </w:r>
          </w:p>
          <w:p w14:paraId="590F7EC0">
            <w:pPr>
              <w:rPr>
                <w:rFonts w:ascii="宋体" w:hAnsi="宋体" w:cs="宋体"/>
                <w:sz w:val="20"/>
                <w:szCs w:val="20"/>
              </w:rPr>
            </w:pPr>
            <w:r>
              <w:rPr>
                <w:rFonts w:hint="eastAsia"/>
                <w:sz w:val="20"/>
                <w:szCs w:val="20"/>
              </w:rPr>
              <w:t>　</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0B13ED36">
            <w:pPr>
              <w:rPr>
                <w:rFonts w:hint="eastAsia"/>
                <w:sz w:val="20"/>
                <w:szCs w:val="20"/>
              </w:rPr>
            </w:pPr>
            <w:r>
              <w:rPr>
                <w:rFonts w:hint="eastAsia"/>
                <w:sz w:val="20"/>
                <w:szCs w:val="20"/>
              </w:rPr>
              <w:t>提供全方位的法律服务，保证了项目的顺利进行</w:t>
            </w:r>
          </w:p>
          <w:p w14:paraId="688ED0C0">
            <w:pPr>
              <w:rPr>
                <w:rFonts w:ascii="宋体" w:hAnsi="宋体" w:cs="宋体"/>
                <w:kern w:val="2"/>
                <w:sz w:val="20"/>
                <w:szCs w:val="20"/>
                <w:lang w:val="en-US" w:eastAsia="zh-CN" w:bidi="ar-SA"/>
              </w:rPr>
            </w:pPr>
            <w:r>
              <w:rPr>
                <w:rFonts w:hint="eastAsia"/>
                <w:sz w:val="20"/>
                <w:szCs w:val="20"/>
              </w:rPr>
              <w:t>　</w:t>
            </w:r>
          </w:p>
        </w:tc>
        <w:tc>
          <w:tcPr>
            <w:tcW w:w="677" w:type="dxa"/>
            <w:tcBorders>
              <w:top w:val="single" w:color="auto" w:sz="4" w:space="0"/>
              <w:left w:val="single" w:color="auto" w:sz="4" w:space="0"/>
              <w:bottom w:val="single" w:color="auto" w:sz="4" w:space="0"/>
              <w:right w:val="single" w:color="auto" w:sz="4" w:space="0"/>
            </w:tcBorders>
            <w:noWrap w:val="0"/>
            <w:vAlign w:val="center"/>
          </w:tcPr>
          <w:p w14:paraId="6FFCAE5F">
            <w:pPr>
              <w:jc w:val="center"/>
              <w:rPr>
                <w:sz w:val="20"/>
                <w:szCs w:val="20"/>
              </w:rPr>
            </w:pPr>
            <w:r>
              <w:rPr>
                <w:rFonts w:hint="eastAsia"/>
                <w:sz w:val="20"/>
                <w:szCs w:val="20"/>
              </w:rPr>
              <w:t>经济效</w:t>
            </w:r>
          </w:p>
          <w:p w14:paraId="0CC65C9B">
            <w:pPr>
              <w:jc w:val="center"/>
              <w:rPr>
                <w:rFonts w:ascii="宋体" w:hAnsi="宋体" w:cs="宋体"/>
                <w:sz w:val="20"/>
                <w:szCs w:val="20"/>
              </w:rPr>
            </w:pPr>
            <w:r>
              <w:rPr>
                <w:rFonts w:hint="eastAsia"/>
                <w:sz w:val="20"/>
                <w:szCs w:val="20"/>
              </w:rPr>
              <w:t>益指标</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458DEDC">
            <w:pPr>
              <w:rPr>
                <w:rFonts w:ascii="宋体" w:hAnsi="宋体" w:cs="宋体"/>
                <w:kern w:val="2"/>
                <w:sz w:val="20"/>
                <w:szCs w:val="20"/>
                <w:lang w:val="en-US" w:eastAsia="zh-CN" w:bidi="ar-SA"/>
              </w:rPr>
            </w:pPr>
            <w:r>
              <w:rPr>
                <w:rFonts w:hint="eastAsia" w:ascii="宋体" w:hAnsi="宋体" w:cs="宋体"/>
                <w:color w:val="000000"/>
                <w:kern w:val="0"/>
                <w:sz w:val="18"/>
                <w:szCs w:val="18"/>
                <w:lang w:bidi="ar"/>
              </w:rPr>
              <w:t>项目实施不产生经济价值</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1548ACE4">
            <w:pPr>
              <w:rPr>
                <w:rFonts w:hint="eastAsia"/>
                <w:sz w:val="20"/>
                <w:szCs w:val="20"/>
              </w:rPr>
            </w:pPr>
            <w:r>
              <w:rPr>
                <w:rFonts w:hint="eastAsia"/>
                <w:sz w:val="20"/>
                <w:szCs w:val="20"/>
              </w:rPr>
              <w:t>提供全方位的法律服务，保证了项目的顺利进行</w:t>
            </w:r>
          </w:p>
          <w:p w14:paraId="0A8D1604">
            <w:pPr>
              <w:rPr>
                <w:rFonts w:ascii="宋体" w:hAnsi="宋体" w:cs="宋体"/>
                <w:kern w:val="2"/>
                <w:sz w:val="20"/>
                <w:szCs w:val="20"/>
                <w:lang w:val="en-US" w:eastAsia="zh-CN" w:bidi="ar-SA"/>
              </w:rPr>
            </w:pPr>
            <w:r>
              <w:rPr>
                <w:rFonts w:hint="eastAsia"/>
                <w:sz w:val="20"/>
                <w:szCs w:val="20"/>
              </w:rPr>
              <w:t>　</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5CC3558C">
            <w:pPr>
              <w:rPr>
                <w:rFonts w:hint="eastAsia"/>
                <w:sz w:val="20"/>
                <w:szCs w:val="20"/>
              </w:rPr>
            </w:pPr>
            <w:r>
              <w:rPr>
                <w:rFonts w:hint="eastAsia"/>
                <w:sz w:val="20"/>
                <w:szCs w:val="20"/>
              </w:rPr>
              <w:t>提供全方位的法律服务，保证了项目的顺利进行</w:t>
            </w:r>
          </w:p>
          <w:p w14:paraId="5D9FDE7F">
            <w:pPr>
              <w:rPr>
                <w:rFonts w:ascii="宋体" w:hAnsi="宋体" w:cs="宋体"/>
                <w:kern w:val="2"/>
                <w:sz w:val="20"/>
                <w:szCs w:val="20"/>
                <w:lang w:val="en-US" w:eastAsia="zh-CN" w:bidi="ar-SA"/>
              </w:rPr>
            </w:pPr>
            <w:r>
              <w:rPr>
                <w:rFonts w:hint="eastAsia"/>
                <w:sz w:val="20"/>
                <w:szCs w:val="20"/>
              </w:rPr>
              <w:t>　</w:t>
            </w:r>
          </w:p>
        </w:tc>
      </w:tr>
      <w:tr w14:paraId="6C0D97A4">
        <w:tblPrEx>
          <w:tblCellMar>
            <w:top w:w="0" w:type="dxa"/>
            <w:left w:w="108" w:type="dxa"/>
            <w:bottom w:w="0" w:type="dxa"/>
            <w:right w:w="108" w:type="dxa"/>
          </w:tblCellMar>
        </w:tblPrEx>
        <w:trPr>
          <w:trHeight w:val="315" w:hRule="atLeast"/>
        </w:trPr>
        <w:tc>
          <w:tcPr>
            <w:tcW w:w="416" w:type="dxa"/>
            <w:vMerge w:val="continue"/>
            <w:tcBorders>
              <w:top w:val="single" w:color="auto" w:sz="4" w:space="0"/>
              <w:left w:val="single" w:color="auto" w:sz="4" w:space="0"/>
              <w:bottom w:val="single" w:color="000000" w:sz="4" w:space="0"/>
              <w:right w:val="single" w:color="auto" w:sz="4" w:space="0"/>
            </w:tcBorders>
            <w:noWrap w:val="0"/>
            <w:vAlign w:val="center"/>
          </w:tcPr>
          <w:p w14:paraId="230E80EC">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noWrap w:val="0"/>
            <w:vAlign w:val="center"/>
          </w:tcPr>
          <w:p w14:paraId="4EB10303">
            <w:pPr>
              <w:rPr>
                <w:rFonts w:ascii="宋体" w:hAnsi="宋体" w:cs="宋体"/>
                <w:sz w:val="20"/>
                <w:szCs w:val="20"/>
              </w:rPr>
            </w:pPr>
          </w:p>
        </w:tc>
        <w:tc>
          <w:tcPr>
            <w:tcW w:w="940" w:type="dxa"/>
            <w:vMerge w:val="restart"/>
            <w:tcBorders>
              <w:top w:val="single" w:color="auto" w:sz="4" w:space="0"/>
              <w:left w:val="single" w:color="auto" w:sz="4" w:space="0"/>
              <w:bottom w:val="single" w:color="000000" w:sz="4" w:space="0"/>
              <w:right w:val="single" w:color="auto" w:sz="4" w:space="0"/>
            </w:tcBorders>
            <w:noWrap w:val="0"/>
            <w:vAlign w:val="center"/>
          </w:tcPr>
          <w:p w14:paraId="3D9AEF18">
            <w:pPr>
              <w:jc w:val="center"/>
              <w:rPr>
                <w:rFonts w:ascii="宋体" w:hAnsi="宋体" w:cs="宋体"/>
                <w:sz w:val="20"/>
                <w:szCs w:val="20"/>
              </w:rPr>
            </w:pPr>
            <w:r>
              <w:rPr>
                <w:rFonts w:hint="eastAsia"/>
                <w:sz w:val="20"/>
                <w:szCs w:val="20"/>
              </w:rPr>
              <w:t>社会效益指标</w:t>
            </w:r>
          </w:p>
        </w:tc>
        <w:tc>
          <w:tcPr>
            <w:tcW w:w="1523" w:type="dxa"/>
            <w:vMerge w:val="restart"/>
            <w:tcBorders>
              <w:top w:val="single" w:color="auto" w:sz="4" w:space="0"/>
              <w:left w:val="single" w:color="auto" w:sz="4" w:space="0"/>
              <w:right w:val="single" w:color="auto" w:sz="4" w:space="0"/>
            </w:tcBorders>
            <w:noWrap w:val="0"/>
            <w:vAlign w:val="center"/>
          </w:tcPr>
          <w:p w14:paraId="55C75E01">
            <w:pPr>
              <w:rPr>
                <w:rFonts w:hint="eastAsia"/>
                <w:sz w:val="20"/>
                <w:szCs w:val="20"/>
              </w:rPr>
            </w:pPr>
            <w:r>
              <w:rPr>
                <w:rFonts w:hint="eastAsia"/>
                <w:sz w:val="20"/>
                <w:szCs w:val="20"/>
              </w:rPr>
              <w:t xml:space="preserve"> 指标1：纠纷调解服务覆盖率</w:t>
            </w:r>
          </w:p>
          <w:p w14:paraId="03C61C9C">
            <w:pPr>
              <w:rPr>
                <w:rFonts w:ascii="宋体" w:hAnsi="宋体" w:cs="宋体"/>
                <w:sz w:val="20"/>
                <w:szCs w:val="20"/>
              </w:rPr>
            </w:pPr>
          </w:p>
        </w:tc>
        <w:tc>
          <w:tcPr>
            <w:tcW w:w="1200" w:type="dxa"/>
            <w:vMerge w:val="restart"/>
            <w:tcBorders>
              <w:top w:val="single" w:color="auto" w:sz="4" w:space="0"/>
              <w:left w:val="nil"/>
              <w:right w:val="single" w:color="auto" w:sz="4" w:space="0"/>
            </w:tcBorders>
            <w:noWrap w:val="0"/>
            <w:vAlign w:val="center"/>
          </w:tcPr>
          <w:p w14:paraId="15A6B995">
            <w:pPr>
              <w:rPr>
                <w:rFonts w:ascii="宋体" w:hAnsi="宋体" w:cs="宋体"/>
                <w:sz w:val="20"/>
                <w:szCs w:val="20"/>
              </w:rPr>
            </w:pPr>
            <w:r>
              <w:rPr>
                <w:rFonts w:hint="eastAsia" w:ascii="宋体" w:hAnsi="宋体" w:cs="宋体"/>
                <w:color w:val="000000"/>
                <w:kern w:val="0"/>
                <w:sz w:val="18"/>
                <w:szCs w:val="18"/>
                <w:lang w:bidi="ar"/>
              </w:rPr>
              <w:t>100%</w:t>
            </w:r>
            <w:r>
              <w:rPr>
                <w:rFonts w:hint="eastAsia"/>
                <w:sz w:val="20"/>
                <w:szCs w:val="20"/>
              </w:rPr>
              <w:t>　</w:t>
            </w:r>
          </w:p>
        </w:tc>
        <w:tc>
          <w:tcPr>
            <w:tcW w:w="928" w:type="dxa"/>
            <w:vMerge w:val="restart"/>
            <w:tcBorders>
              <w:top w:val="single" w:color="auto" w:sz="4" w:space="0"/>
              <w:left w:val="nil"/>
              <w:right w:val="single" w:color="auto" w:sz="4" w:space="0"/>
            </w:tcBorders>
            <w:noWrap w:val="0"/>
            <w:vAlign w:val="center"/>
          </w:tcPr>
          <w:p w14:paraId="1C231A51">
            <w:pPr>
              <w:rPr>
                <w:rFonts w:ascii="宋体" w:hAnsi="宋体" w:cs="宋体"/>
                <w:kern w:val="2"/>
                <w:sz w:val="20"/>
                <w:szCs w:val="20"/>
                <w:lang w:val="en-US" w:eastAsia="zh-CN" w:bidi="ar-SA"/>
              </w:rPr>
            </w:pPr>
            <w:r>
              <w:rPr>
                <w:rFonts w:hint="eastAsia" w:ascii="宋体" w:hAnsi="宋体" w:cs="宋体"/>
                <w:color w:val="000000"/>
                <w:kern w:val="0"/>
                <w:sz w:val="18"/>
                <w:szCs w:val="18"/>
                <w:lang w:bidi="ar"/>
              </w:rPr>
              <w:t>100%</w:t>
            </w:r>
            <w:r>
              <w:rPr>
                <w:rFonts w:hint="eastAsia"/>
                <w:sz w:val="20"/>
                <w:szCs w:val="20"/>
              </w:rPr>
              <w:t>　</w:t>
            </w:r>
          </w:p>
          <w:p w14:paraId="397104EF">
            <w:pPr>
              <w:rPr>
                <w:rFonts w:ascii="宋体" w:hAnsi="宋体" w:cs="宋体"/>
                <w:sz w:val="20"/>
                <w:szCs w:val="20"/>
              </w:rPr>
            </w:pPr>
          </w:p>
        </w:tc>
        <w:tc>
          <w:tcPr>
            <w:tcW w:w="677" w:type="dxa"/>
            <w:vMerge w:val="restart"/>
            <w:tcBorders>
              <w:top w:val="single" w:color="auto" w:sz="4" w:space="0"/>
              <w:left w:val="single" w:color="auto" w:sz="4" w:space="0"/>
              <w:bottom w:val="single" w:color="000000" w:sz="4" w:space="0"/>
              <w:right w:val="single" w:color="auto" w:sz="4" w:space="0"/>
            </w:tcBorders>
            <w:noWrap w:val="0"/>
            <w:vAlign w:val="center"/>
          </w:tcPr>
          <w:p w14:paraId="605A3FF6">
            <w:pPr>
              <w:jc w:val="center"/>
              <w:rPr>
                <w:sz w:val="20"/>
                <w:szCs w:val="20"/>
              </w:rPr>
            </w:pPr>
            <w:r>
              <w:rPr>
                <w:rFonts w:hint="eastAsia"/>
                <w:sz w:val="20"/>
                <w:szCs w:val="20"/>
              </w:rPr>
              <w:t>社会效</w:t>
            </w:r>
          </w:p>
          <w:p w14:paraId="7AF6C5FC">
            <w:pPr>
              <w:jc w:val="center"/>
              <w:rPr>
                <w:rFonts w:ascii="宋体" w:hAnsi="宋体" w:cs="宋体"/>
                <w:sz w:val="20"/>
                <w:szCs w:val="20"/>
              </w:rPr>
            </w:pPr>
            <w:r>
              <w:rPr>
                <w:rFonts w:hint="eastAsia"/>
                <w:sz w:val="20"/>
                <w:szCs w:val="20"/>
              </w:rPr>
              <w:t>益指标</w:t>
            </w:r>
          </w:p>
        </w:tc>
        <w:tc>
          <w:tcPr>
            <w:tcW w:w="1140" w:type="dxa"/>
            <w:vMerge w:val="restart"/>
            <w:tcBorders>
              <w:top w:val="single" w:color="auto" w:sz="4" w:space="0"/>
              <w:left w:val="nil"/>
              <w:right w:val="single" w:color="auto" w:sz="4" w:space="0"/>
            </w:tcBorders>
            <w:noWrap w:val="0"/>
            <w:vAlign w:val="center"/>
          </w:tcPr>
          <w:p w14:paraId="6E5ECF7A">
            <w:pPr>
              <w:rPr>
                <w:rFonts w:hint="eastAsia"/>
                <w:sz w:val="20"/>
                <w:szCs w:val="20"/>
              </w:rPr>
            </w:pPr>
            <w:r>
              <w:rPr>
                <w:rFonts w:hint="eastAsia"/>
                <w:sz w:val="20"/>
                <w:szCs w:val="20"/>
              </w:rPr>
              <w:t xml:space="preserve"> 指标1：纠纷调解服务覆盖率</w:t>
            </w:r>
          </w:p>
          <w:p w14:paraId="491709F7">
            <w:pPr>
              <w:rPr>
                <w:rFonts w:ascii="宋体" w:hAnsi="宋体" w:cs="宋体"/>
                <w:kern w:val="2"/>
                <w:sz w:val="20"/>
                <w:szCs w:val="20"/>
                <w:lang w:val="en-US" w:eastAsia="zh-CN" w:bidi="ar-SA"/>
              </w:rPr>
            </w:pPr>
          </w:p>
          <w:p w14:paraId="4DEF1967">
            <w:pPr>
              <w:rPr>
                <w:rFonts w:ascii="宋体" w:hAnsi="宋体" w:cs="宋体"/>
                <w:sz w:val="20"/>
                <w:szCs w:val="20"/>
              </w:rPr>
            </w:pPr>
          </w:p>
        </w:tc>
        <w:tc>
          <w:tcPr>
            <w:tcW w:w="840" w:type="dxa"/>
            <w:vMerge w:val="restart"/>
            <w:tcBorders>
              <w:top w:val="single" w:color="auto" w:sz="4" w:space="0"/>
              <w:left w:val="nil"/>
              <w:right w:val="single" w:color="auto" w:sz="4" w:space="0"/>
            </w:tcBorders>
            <w:noWrap w:val="0"/>
            <w:vAlign w:val="center"/>
          </w:tcPr>
          <w:p w14:paraId="05259E4F">
            <w:pPr>
              <w:rPr>
                <w:rFonts w:ascii="宋体" w:hAnsi="宋体" w:cs="宋体"/>
                <w:kern w:val="2"/>
                <w:sz w:val="20"/>
                <w:szCs w:val="20"/>
                <w:lang w:val="en-US" w:eastAsia="zh-CN" w:bidi="ar-SA"/>
              </w:rPr>
            </w:pPr>
            <w:r>
              <w:rPr>
                <w:rFonts w:hint="eastAsia" w:ascii="宋体" w:hAnsi="宋体" w:cs="宋体"/>
                <w:color w:val="000000"/>
                <w:kern w:val="0"/>
                <w:sz w:val="18"/>
                <w:szCs w:val="18"/>
                <w:lang w:bidi="ar"/>
              </w:rPr>
              <w:t>100%</w:t>
            </w:r>
            <w:r>
              <w:rPr>
                <w:rFonts w:hint="eastAsia"/>
                <w:sz w:val="20"/>
                <w:szCs w:val="20"/>
              </w:rPr>
              <w:t>　</w:t>
            </w:r>
          </w:p>
          <w:p w14:paraId="06E985CC">
            <w:pPr>
              <w:rPr>
                <w:rFonts w:ascii="宋体" w:hAnsi="宋体" w:cs="宋体"/>
                <w:sz w:val="20"/>
                <w:szCs w:val="20"/>
              </w:rPr>
            </w:pPr>
          </w:p>
        </w:tc>
        <w:tc>
          <w:tcPr>
            <w:tcW w:w="840" w:type="dxa"/>
            <w:tcBorders>
              <w:top w:val="single" w:color="auto" w:sz="4" w:space="0"/>
              <w:left w:val="single" w:color="auto" w:sz="4" w:space="0"/>
              <w:bottom w:val="nil"/>
              <w:right w:val="single" w:color="auto" w:sz="4" w:space="0"/>
            </w:tcBorders>
            <w:noWrap w:val="0"/>
            <w:vAlign w:val="center"/>
          </w:tcPr>
          <w:p w14:paraId="0A205662">
            <w:pPr>
              <w:rPr>
                <w:rFonts w:ascii="宋体" w:hAnsi="宋体" w:cs="宋体"/>
                <w:kern w:val="2"/>
                <w:sz w:val="20"/>
                <w:szCs w:val="20"/>
                <w:lang w:val="en-US" w:eastAsia="zh-CN" w:bidi="ar-SA"/>
              </w:rPr>
            </w:pPr>
            <w:r>
              <w:rPr>
                <w:rFonts w:hint="eastAsia" w:ascii="宋体" w:hAnsi="宋体" w:cs="宋体"/>
                <w:color w:val="000000"/>
                <w:kern w:val="0"/>
                <w:sz w:val="18"/>
                <w:szCs w:val="18"/>
                <w:lang w:bidi="ar"/>
              </w:rPr>
              <w:t>100%</w:t>
            </w:r>
            <w:r>
              <w:rPr>
                <w:rFonts w:hint="eastAsia"/>
                <w:sz w:val="20"/>
                <w:szCs w:val="20"/>
              </w:rPr>
              <w:t>　</w:t>
            </w:r>
          </w:p>
          <w:p w14:paraId="51CCDE04">
            <w:pPr>
              <w:rPr>
                <w:rFonts w:ascii="宋体" w:hAnsi="宋体" w:cs="宋体"/>
                <w:kern w:val="2"/>
                <w:sz w:val="20"/>
                <w:szCs w:val="20"/>
                <w:lang w:val="en-US" w:eastAsia="zh-CN" w:bidi="ar-SA"/>
              </w:rPr>
            </w:pPr>
          </w:p>
        </w:tc>
      </w:tr>
      <w:tr w14:paraId="408FB510">
        <w:tblPrEx>
          <w:tblCellMar>
            <w:top w:w="0" w:type="dxa"/>
            <w:left w:w="108" w:type="dxa"/>
            <w:bottom w:w="0" w:type="dxa"/>
            <w:right w:w="108" w:type="dxa"/>
          </w:tblCellMar>
        </w:tblPrEx>
        <w:trPr>
          <w:trHeight w:val="90"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08297E6F">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noWrap w:val="0"/>
            <w:vAlign w:val="center"/>
          </w:tcPr>
          <w:p w14:paraId="606ADF5F">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noWrap w:val="0"/>
            <w:vAlign w:val="center"/>
          </w:tcPr>
          <w:p w14:paraId="335FB58C">
            <w:pPr>
              <w:rPr>
                <w:rFonts w:ascii="宋体" w:hAnsi="宋体" w:cs="宋体"/>
                <w:sz w:val="20"/>
                <w:szCs w:val="20"/>
              </w:rPr>
            </w:pPr>
          </w:p>
        </w:tc>
        <w:tc>
          <w:tcPr>
            <w:tcW w:w="1523" w:type="dxa"/>
            <w:vMerge w:val="continue"/>
            <w:tcBorders>
              <w:left w:val="single" w:color="auto" w:sz="4" w:space="0"/>
              <w:bottom w:val="single" w:color="auto" w:sz="4" w:space="0"/>
              <w:right w:val="single" w:color="auto" w:sz="4" w:space="0"/>
            </w:tcBorders>
            <w:noWrap w:val="0"/>
            <w:vAlign w:val="center"/>
          </w:tcPr>
          <w:p w14:paraId="7F50918D">
            <w:pPr>
              <w:rPr>
                <w:rFonts w:ascii="宋体" w:hAnsi="宋体" w:cs="宋体"/>
                <w:sz w:val="20"/>
                <w:szCs w:val="20"/>
              </w:rPr>
            </w:pPr>
          </w:p>
        </w:tc>
        <w:tc>
          <w:tcPr>
            <w:tcW w:w="1200" w:type="dxa"/>
            <w:vMerge w:val="continue"/>
            <w:tcBorders>
              <w:left w:val="nil"/>
              <w:bottom w:val="single" w:color="auto" w:sz="4" w:space="0"/>
              <w:right w:val="single" w:color="auto" w:sz="4" w:space="0"/>
            </w:tcBorders>
            <w:noWrap w:val="0"/>
            <w:vAlign w:val="center"/>
          </w:tcPr>
          <w:p w14:paraId="23CD8FB6">
            <w:pPr>
              <w:rPr>
                <w:rFonts w:ascii="宋体" w:hAnsi="宋体" w:cs="宋体"/>
                <w:sz w:val="20"/>
                <w:szCs w:val="20"/>
              </w:rPr>
            </w:pPr>
          </w:p>
        </w:tc>
        <w:tc>
          <w:tcPr>
            <w:tcW w:w="928" w:type="dxa"/>
            <w:vMerge w:val="continue"/>
            <w:tcBorders>
              <w:left w:val="nil"/>
              <w:bottom w:val="single" w:color="auto" w:sz="4" w:space="0"/>
              <w:right w:val="single" w:color="auto" w:sz="4" w:space="0"/>
            </w:tcBorders>
            <w:noWrap w:val="0"/>
            <w:vAlign w:val="center"/>
          </w:tcPr>
          <w:p w14:paraId="28AC5CCB">
            <w:pPr>
              <w:rPr>
                <w:rFonts w:ascii="宋体" w:hAnsi="宋体" w:cs="宋体"/>
                <w:sz w:val="20"/>
                <w:szCs w:val="20"/>
              </w:rPr>
            </w:pPr>
          </w:p>
        </w:tc>
        <w:tc>
          <w:tcPr>
            <w:tcW w:w="677" w:type="dxa"/>
            <w:vMerge w:val="continue"/>
            <w:tcBorders>
              <w:top w:val="nil"/>
              <w:left w:val="single" w:color="auto" w:sz="4" w:space="0"/>
              <w:bottom w:val="single" w:color="000000" w:sz="4" w:space="0"/>
              <w:right w:val="single" w:color="auto" w:sz="4" w:space="0"/>
            </w:tcBorders>
            <w:noWrap w:val="0"/>
            <w:vAlign w:val="center"/>
          </w:tcPr>
          <w:p w14:paraId="4C35C7B8">
            <w:pPr>
              <w:rPr>
                <w:rFonts w:ascii="宋体" w:hAnsi="宋体" w:cs="宋体"/>
                <w:sz w:val="20"/>
                <w:szCs w:val="20"/>
              </w:rPr>
            </w:pPr>
          </w:p>
        </w:tc>
        <w:tc>
          <w:tcPr>
            <w:tcW w:w="1140" w:type="dxa"/>
            <w:vMerge w:val="continue"/>
            <w:tcBorders>
              <w:left w:val="nil"/>
              <w:bottom w:val="single" w:color="auto" w:sz="4" w:space="0"/>
              <w:right w:val="single" w:color="auto" w:sz="4" w:space="0"/>
            </w:tcBorders>
            <w:noWrap w:val="0"/>
            <w:vAlign w:val="center"/>
          </w:tcPr>
          <w:p w14:paraId="2968D46D">
            <w:pPr>
              <w:rPr>
                <w:rFonts w:ascii="宋体" w:hAnsi="宋体" w:cs="宋体"/>
                <w:sz w:val="20"/>
                <w:szCs w:val="20"/>
              </w:rPr>
            </w:pPr>
          </w:p>
        </w:tc>
        <w:tc>
          <w:tcPr>
            <w:tcW w:w="840" w:type="dxa"/>
            <w:vMerge w:val="continue"/>
            <w:tcBorders>
              <w:left w:val="nil"/>
              <w:bottom w:val="single" w:color="auto" w:sz="4" w:space="0"/>
              <w:right w:val="single" w:color="auto" w:sz="4" w:space="0"/>
            </w:tcBorders>
            <w:noWrap w:val="0"/>
            <w:vAlign w:val="center"/>
          </w:tcPr>
          <w:p w14:paraId="1FF207FC">
            <w:pPr>
              <w:rPr>
                <w:rFonts w:ascii="宋体" w:hAnsi="宋体" w:cs="宋体"/>
                <w:sz w:val="20"/>
                <w:szCs w:val="20"/>
              </w:rPr>
            </w:pPr>
          </w:p>
        </w:tc>
        <w:tc>
          <w:tcPr>
            <w:tcW w:w="840" w:type="dxa"/>
            <w:tcBorders>
              <w:top w:val="nil"/>
              <w:left w:val="single" w:color="auto" w:sz="4" w:space="0"/>
              <w:bottom w:val="single" w:color="auto" w:sz="4" w:space="0"/>
              <w:right w:val="single" w:color="auto" w:sz="4" w:space="0"/>
            </w:tcBorders>
            <w:noWrap w:val="0"/>
            <w:vAlign w:val="center"/>
          </w:tcPr>
          <w:p w14:paraId="01B04201">
            <w:pPr>
              <w:rPr>
                <w:rFonts w:ascii="宋体" w:hAnsi="宋体" w:cs="宋体"/>
                <w:sz w:val="20"/>
                <w:szCs w:val="20"/>
              </w:rPr>
            </w:pPr>
          </w:p>
        </w:tc>
      </w:tr>
      <w:tr w14:paraId="7FA518B4">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7A05C319">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noWrap w:val="0"/>
            <w:vAlign w:val="center"/>
          </w:tcPr>
          <w:p w14:paraId="100227E0">
            <w:pPr>
              <w:rPr>
                <w:rFonts w:ascii="宋体" w:hAnsi="宋体" w:cs="宋体"/>
                <w:sz w:val="20"/>
                <w:szCs w:val="20"/>
              </w:rPr>
            </w:pPr>
          </w:p>
        </w:tc>
        <w:tc>
          <w:tcPr>
            <w:tcW w:w="940" w:type="dxa"/>
            <w:vMerge w:val="restart"/>
            <w:tcBorders>
              <w:top w:val="nil"/>
              <w:left w:val="single" w:color="auto" w:sz="4" w:space="0"/>
              <w:bottom w:val="single" w:color="000000" w:sz="4" w:space="0"/>
              <w:right w:val="single" w:color="auto" w:sz="4" w:space="0"/>
            </w:tcBorders>
            <w:noWrap w:val="0"/>
            <w:vAlign w:val="center"/>
          </w:tcPr>
          <w:p w14:paraId="6284B473">
            <w:pPr>
              <w:jc w:val="center"/>
              <w:rPr>
                <w:rFonts w:ascii="宋体" w:hAnsi="宋体" w:cs="宋体"/>
                <w:sz w:val="20"/>
                <w:szCs w:val="20"/>
              </w:rPr>
            </w:pPr>
            <w:r>
              <w:rPr>
                <w:rFonts w:hint="eastAsia"/>
                <w:sz w:val="20"/>
                <w:szCs w:val="20"/>
              </w:rPr>
              <w:t>生态效益指标</w:t>
            </w:r>
          </w:p>
        </w:tc>
        <w:tc>
          <w:tcPr>
            <w:tcW w:w="1523" w:type="dxa"/>
            <w:vMerge w:val="restart"/>
            <w:tcBorders>
              <w:top w:val="nil"/>
              <w:left w:val="nil"/>
              <w:right w:val="single" w:color="auto" w:sz="4" w:space="0"/>
            </w:tcBorders>
            <w:noWrap w:val="0"/>
            <w:vAlign w:val="center"/>
          </w:tcPr>
          <w:p w14:paraId="75AC0CAF">
            <w:pPr>
              <w:rPr>
                <w:rFonts w:hint="eastAsia"/>
                <w:sz w:val="20"/>
                <w:szCs w:val="20"/>
              </w:rPr>
            </w:pPr>
            <w:r>
              <w:rPr>
                <w:rFonts w:hint="eastAsia"/>
                <w:sz w:val="20"/>
                <w:szCs w:val="20"/>
              </w:rPr>
              <w:t xml:space="preserve"> 指标1：是否对当地生态环境造成影响</w:t>
            </w:r>
          </w:p>
          <w:p w14:paraId="51D081AC">
            <w:pPr>
              <w:rPr>
                <w:rFonts w:ascii="宋体" w:hAnsi="宋体" w:cs="宋体"/>
                <w:sz w:val="20"/>
                <w:szCs w:val="20"/>
              </w:rPr>
            </w:pPr>
            <w:r>
              <w:rPr>
                <w:rFonts w:hint="eastAsia"/>
                <w:sz w:val="20"/>
                <w:szCs w:val="20"/>
              </w:rPr>
              <w:t xml:space="preserve"> </w:t>
            </w:r>
          </w:p>
        </w:tc>
        <w:tc>
          <w:tcPr>
            <w:tcW w:w="1200" w:type="dxa"/>
            <w:vMerge w:val="restart"/>
            <w:tcBorders>
              <w:top w:val="nil"/>
              <w:left w:val="nil"/>
              <w:right w:val="single" w:color="auto" w:sz="4" w:space="0"/>
            </w:tcBorders>
            <w:noWrap w:val="0"/>
            <w:vAlign w:val="center"/>
          </w:tcPr>
          <w:p w14:paraId="368A6BA7">
            <w:pPr>
              <w:rPr>
                <w:rFonts w:hint="eastAsia"/>
                <w:sz w:val="20"/>
                <w:szCs w:val="20"/>
              </w:rPr>
            </w:pPr>
            <w:r>
              <w:rPr>
                <w:rFonts w:hint="eastAsia"/>
                <w:sz w:val="20"/>
                <w:szCs w:val="20"/>
              </w:rPr>
              <w:t>不对周边生态环境带来影响　</w:t>
            </w:r>
          </w:p>
          <w:p w14:paraId="712774BF">
            <w:pPr>
              <w:rPr>
                <w:rFonts w:ascii="宋体" w:hAnsi="宋体" w:cs="宋体"/>
                <w:sz w:val="20"/>
                <w:szCs w:val="20"/>
              </w:rPr>
            </w:pPr>
            <w:r>
              <w:rPr>
                <w:rFonts w:hint="eastAsia"/>
                <w:sz w:val="20"/>
                <w:szCs w:val="20"/>
              </w:rPr>
              <w:t>　</w:t>
            </w:r>
          </w:p>
        </w:tc>
        <w:tc>
          <w:tcPr>
            <w:tcW w:w="928" w:type="dxa"/>
            <w:vMerge w:val="restart"/>
            <w:tcBorders>
              <w:top w:val="nil"/>
              <w:left w:val="nil"/>
              <w:right w:val="single" w:color="auto" w:sz="4" w:space="0"/>
            </w:tcBorders>
            <w:noWrap w:val="0"/>
            <w:vAlign w:val="center"/>
          </w:tcPr>
          <w:p w14:paraId="46F82624">
            <w:pPr>
              <w:rPr>
                <w:rFonts w:hint="eastAsia"/>
                <w:sz w:val="20"/>
                <w:szCs w:val="20"/>
              </w:rPr>
            </w:pPr>
            <w:r>
              <w:rPr>
                <w:rFonts w:hint="eastAsia"/>
                <w:sz w:val="20"/>
                <w:szCs w:val="20"/>
              </w:rPr>
              <w:t>不对周边生态环境带来影响　</w:t>
            </w:r>
          </w:p>
          <w:p w14:paraId="33C3C32D">
            <w:pPr>
              <w:rPr>
                <w:rFonts w:ascii="宋体" w:hAnsi="宋体" w:cs="宋体"/>
                <w:kern w:val="2"/>
                <w:sz w:val="20"/>
                <w:szCs w:val="20"/>
                <w:lang w:val="en-US" w:eastAsia="zh-CN" w:bidi="ar-SA"/>
              </w:rPr>
            </w:pPr>
            <w:r>
              <w:rPr>
                <w:rFonts w:hint="eastAsia"/>
                <w:sz w:val="20"/>
                <w:szCs w:val="20"/>
              </w:rPr>
              <w:t>　</w:t>
            </w:r>
          </w:p>
          <w:p w14:paraId="551EF5B2">
            <w:pPr>
              <w:rPr>
                <w:rFonts w:ascii="宋体" w:hAnsi="宋体" w:cs="宋体"/>
                <w:sz w:val="20"/>
                <w:szCs w:val="20"/>
              </w:rPr>
            </w:pPr>
          </w:p>
        </w:tc>
        <w:tc>
          <w:tcPr>
            <w:tcW w:w="677" w:type="dxa"/>
            <w:vMerge w:val="restart"/>
            <w:tcBorders>
              <w:top w:val="nil"/>
              <w:left w:val="single" w:color="auto" w:sz="4" w:space="0"/>
              <w:bottom w:val="single" w:color="000000" w:sz="4" w:space="0"/>
              <w:right w:val="single" w:color="auto" w:sz="4" w:space="0"/>
            </w:tcBorders>
            <w:noWrap w:val="0"/>
            <w:vAlign w:val="center"/>
          </w:tcPr>
          <w:p w14:paraId="1E4770E1">
            <w:pPr>
              <w:jc w:val="center"/>
              <w:rPr>
                <w:rFonts w:ascii="宋体" w:hAnsi="宋体" w:cs="宋体"/>
                <w:sz w:val="20"/>
                <w:szCs w:val="20"/>
              </w:rPr>
            </w:pPr>
            <w:r>
              <w:rPr>
                <w:rFonts w:hint="eastAsia"/>
                <w:sz w:val="20"/>
                <w:szCs w:val="20"/>
              </w:rPr>
              <w:t>生态效益指标</w:t>
            </w:r>
          </w:p>
        </w:tc>
        <w:tc>
          <w:tcPr>
            <w:tcW w:w="1140" w:type="dxa"/>
            <w:tcBorders>
              <w:top w:val="single" w:color="auto" w:sz="4" w:space="0"/>
              <w:left w:val="single" w:color="auto" w:sz="4" w:space="0"/>
              <w:bottom w:val="nil"/>
              <w:right w:val="single" w:color="auto" w:sz="4" w:space="0"/>
            </w:tcBorders>
            <w:noWrap w:val="0"/>
            <w:vAlign w:val="center"/>
          </w:tcPr>
          <w:p w14:paraId="257C7497">
            <w:pPr>
              <w:rPr>
                <w:rFonts w:hint="eastAsia"/>
                <w:sz w:val="20"/>
                <w:szCs w:val="20"/>
              </w:rPr>
            </w:pPr>
            <w:r>
              <w:rPr>
                <w:rFonts w:hint="eastAsia"/>
                <w:sz w:val="20"/>
                <w:szCs w:val="20"/>
              </w:rPr>
              <w:t xml:space="preserve"> 指标1：是否对当地生态环境造成影响</w:t>
            </w:r>
          </w:p>
          <w:p w14:paraId="7209C0D0">
            <w:pPr>
              <w:rPr>
                <w:rFonts w:ascii="宋体" w:hAnsi="宋体" w:cs="宋体"/>
                <w:kern w:val="2"/>
                <w:sz w:val="20"/>
                <w:szCs w:val="20"/>
                <w:lang w:val="en-US" w:eastAsia="zh-CN" w:bidi="ar-SA"/>
              </w:rPr>
            </w:pPr>
            <w:r>
              <w:rPr>
                <w:rFonts w:hint="eastAsia"/>
                <w:sz w:val="20"/>
                <w:szCs w:val="20"/>
              </w:rPr>
              <w:t xml:space="preserve"> </w:t>
            </w:r>
          </w:p>
        </w:tc>
        <w:tc>
          <w:tcPr>
            <w:tcW w:w="840" w:type="dxa"/>
            <w:vMerge w:val="restart"/>
            <w:tcBorders>
              <w:top w:val="nil"/>
              <w:left w:val="nil"/>
              <w:right w:val="single" w:color="auto" w:sz="4" w:space="0"/>
            </w:tcBorders>
            <w:noWrap w:val="0"/>
            <w:vAlign w:val="center"/>
          </w:tcPr>
          <w:p w14:paraId="0466B273">
            <w:pPr>
              <w:rPr>
                <w:rFonts w:hint="eastAsia"/>
                <w:sz w:val="20"/>
                <w:szCs w:val="20"/>
              </w:rPr>
            </w:pPr>
            <w:r>
              <w:rPr>
                <w:rFonts w:hint="eastAsia"/>
                <w:sz w:val="20"/>
                <w:szCs w:val="20"/>
              </w:rPr>
              <w:t>不对周边生态环境带来影响　</w:t>
            </w:r>
          </w:p>
          <w:p w14:paraId="5235249F">
            <w:pPr>
              <w:rPr>
                <w:rFonts w:ascii="宋体" w:hAnsi="宋体" w:cs="宋体"/>
                <w:kern w:val="2"/>
                <w:sz w:val="20"/>
                <w:szCs w:val="20"/>
                <w:lang w:val="en-US" w:eastAsia="zh-CN" w:bidi="ar-SA"/>
              </w:rPr>
            </w:pPr>
            <w:r>
              <w:rPr>
                <w:rFonts w:hint="eastAsia"/>
                <w:sz w:val="20"/>
                <w:szCs w:val="20"/>
              </w:rPr>
              <w:t>　</w:t>
            </w:r>
          </w:p>
          <w:p w14:paraId="2E5B544F">
            <w:pPr>
              <w:rPr>
                <w:rFonts w:ascii="宋体" w:hAnsi="宋体" w:cs="宋体"/>
                <w:sz w:val="20"/>
                <w:szCs w:val="20"/>
              </w:rPr>
            </w:pPr>
          </w:p>
        </w:tc>
        <w:tc>
          <w:tcPr>
            <w:tcW w:w="840" w:type="dxa"/>
            <w:vMerge w:val="restart"/>
            <w:tcBorders>
              <w:top w:val="single" w:color="auto" w:sz="4" w:space="0"/>
              <w:left w:val="nil"/>
              <w:right w:val="single" w:color="auto" w:sz="4" w:space="0"/>
            </w:tcBorders>
            <w:noWrap w:val="0"/>
            <w:vAlign w:val="center"/>
          </w:tcPr>
          <w:p w14:paraId="1B9CAB66">
            <w:pPr>
              <w:rPr>
                <w:rFonts w:hint="eastAsia"/>
                <w:sz w:val="20"/>
                <w:szCs w:val="20"/>
              </w:rPr>
            </w:pPr>
            <w:r>
              <w:rPr>
                <w:rFonts w:hint="eastAsia"/>
                <w:sz w:val="20"/>
                <w:szCs w:val="20"/>
              </w:rPr>
              <w:t>不对周边生态环境带来影响　</w:t>
            </w:r>
          </w:p>
          <w:p w14:paraId="022A2FA6">
            <w:pPr>
              <w:rPr>
                <w:rFonts w:ascii="宋体" w:hAnsi="宋体" w:cs="宋体"/>
                <w:kern w:val="2"/>
                <w:sz w:val="20"/>
                <w:szCs w:val="20"/>
                <w:lang w:val="en-US" w:eastAsia="zh-CN" w:bidi="ar-SA"/>
              </w:rPr>
            </w:pPr>
            <w:r>
              <w:rPr>
                <w:rFonts w:hint="eastAsia"/>
                <w:sz w:val="20"/>
                <w:szCs w:val="20"/>
              </w:rPr>
              <w:t>　</w:t>
            </w:r>
          </w:p>
          <w:p w14:paraId="1578C2D1">
            <w:pPr>
              <w:rPr>
                <w:rFonts w:ascii="宋体" w:hAnsi="宋体" w:cs="宋体"/>
                <w:kern w:val="2"/>
                <w:sz w:val="20"/>
                <w:szCs w:val="20"/>
                <w:lang w:val="en-US" w:eastAsia="zh-CN" w:bidi="ar-SA"/>
              </w:rPr>
            </w:pPr>
          </w:p>
          <w:p w14:paraId="30E03A6B">
            <w:pPr>
              <w:rPr>
                <w:rFonts w:ascii="宋体" w:hAnsi="宋体" w:cs="宋体"/>
                <w:sz w:val="20"/>
                <w:szCs w:val="20"/>
              </w:rPr>
            </w:pPr>
          </w:p>
        </w:tc>
      </w:tr>
      <w:tr w14:paraId="7C654D2D">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40BD486E">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noWrap w:val="0"/>
            <w:vAlign w:val="center"/>
          </w:tcPr>
          <w:p w14:paraId="00459D4C">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noWrap w:val="0"/>
            <w:vAlign w:val="center"/>
          </w:tcPr>
          <w:p w14:paraId="4852A472">
            <w:pPr>
              <w:rPr>
                <w:rFonts w:ascii="宋体" w:hAnsi="宋体" w:cs="宋体"/>
                <w:sz w:val="20"/>
                <w:szCs w:val="20"/>
              </w:rPr>
            </w:pPr>
          </w:p>
        </w:tc>
        <w:tc>
          <w:tcPr>
            <w:tcW w:w="1523" w:type="dxa"/>
            <w:vMerge w:val="continue"/>
            <w:tcBorders>
              <w:left w:val="nil"/>
              <w:bottom w:val="single" w:color="auto" w:sz="4" w:space="0"/>
              <w:right w:val="single" w:color="auto" w:sz="4" w:space="0"/>
            </w:tcBorders>
            <w:noWrap w:val="0"/>
            <w:vAlign w:val="center"/>
          </w:tcPr>
          <w:p w14:paraId="091E3AD4">
            <w:pPr>
              <w:rPr>
                <w:rFonts w:ascii="宋体" w:hAnsi="宋体" w:cs="宋体"/>
                <w:sz w:val="20"/>
                <w:szCs w:val="20"/>
              </w:rPr>
            </w:pPr>
          </w:p>
        </w:tc>
        <w:tc>
          <w:tcPr>
            <w:tcW w:w="1200" w:type="dxa"/>
            <w:vMerge w:val="continue"/>
            <w:tcBorders>
              <w:left w:val="nil"/>
              <w:bottom w:val="single" w:color="auto" w:sz="4" w:space="0"/>
              <w:right w:val="single" w:color="auto" w:sz="4" w:space="0"/>
            </w:tcBorders>
            <w:noWrap w:val="0"/>
            <w:vAlign w:val="center"/>
          </w:tcPr>
          <w:p w14:paraId="318356F1">
            <w:pPr>
              <w:rPr>
                <w:rFonts w:ascii="宋体" w:hAnsi="宋体" w:cs="宋体"/>
                <w:sz w:val="20"/>
                <w:szCs w:val="20"/>
              </w:rPr>
            </w:pPr>
          </w:p>
        </w:tc>
        <w:tc>
          <w:tcPr>
            <w:tcW w:w="928" w:type="dxa"/>
            <w:vMerge w:val="continue"/>
            <w:tcBorders>
              <w:left w:val="nil"/>
              <w:bottom w:val="single" w:color="auto" w:sz="4" w:space="0"/>
              <w:right w:val="single" w:color="auto" w:sz="4" w:space="0"/>
            </w:tcBorders>
            <w:noWrap w:val="0"/>
            <w:vAlign w:val="center"/>
          </w:tcPr>
          <w:p w14:paraId="17E92E77">
            <w:pPr>
              <w:rPr>
                <w:rFonts w:ascii="宋体" w:hAnsi="宋体" w:cs="宋体"/>
                <w:sz w:val="20"/>
                <w:szCs w:val="20"/>
              </w:rPr>
            </w:pPr>
          </w:p>
        </w:tc>
        <w:tc>
          <w:tcPr>
            <w:tcW w:w="677" w:type="dxa"/>
            <w:vMerge w:val="continue"/>
            <w:tcBorders>
              <w:top w:val="nil"/>
              <w:left w:val="single" w:color="auto" w:sz="4" w:space="0"/>
              <w:bottom w:val="single" w:color="000000" w:sz="4" w:space="0"/>
              <w:right w:val="single" w:color="auto" w:sz="4" w:space="0"/>
            </w:tcBorders>
            <w:noWrap w:val="0"/>
            <w:vAlign w:val="center"/>
          </w:tcPr>
          <w:p w14:paraId="20733167">
            <w:pPr>
              <w:rPr>
                <w:rFonts w:ascii="宋体" w:hAnsi="宋体" w:cs="宋体"/>
                <w:sz w:val="20"/>
                <w:szCs w:val="20"/>
              </w:rPr>
            </w:pPr>
          </w:p>
        </w:tc>
        <w:tc>
          <w:tcPr>
            <w:tcW w:w="1140" w:type="dxa"/>
            <w:tcBorders>
              <w:top w:val="nil"/>
              <w:left w:val="single" w:color="auto" w:sz="4" w:space="0"/>
              <w:bottom w:val="single" w:color="auto" w:sz="4" w:space="0"/>
              <w:right w:val="single" w:color="auto" w:sz="4" w:space="0"/>
            </w:tcBorders>
            <w:noWrap w:val="0"/>
            <w:vAlign w:val="center"/>
          </w:tcPr>
          <w:p w14:paraId="72AF7FBF">
            <w:pPr>
              <w:rPr>
                <w:rFonts w:ascii="宋体" w:hAnsi="宋体" w:cs="宋体"/>
                <w:sz w:val="20"/>
                <w:szCs w:val="20"/>
              </w:rPr>
            </w:pPr>
          </w:p>
        </w:tc>
        <w:tc>
          <w:tcPr>
            <w:tcW w:w="840" w:type="dxa"/>
            <w:vMerge w:val="continue"/>
            <w:tcBorders>
              <w:left w:val="nil"/>
              <w:bottom w:val="single" w:color="auto" w:sz="4" w:space="0"/>
              <w:right w:val="single" w:color="auto" w:sz="4" w:space="0"/>
            </w:tcBorders>
            <w:noWrap w:val="0"/>
            <w:vAlign w:val="center"/>
          </w:tcPr>
          <w:p w14:paraId="4B89C41D">
            <w:pPr>
              <w:rPr>
                <w:rFonts w:ascii="宋体" w:hAnsi="宋体" w:cs="宋体"/>
                <w:sz w:val="20"/>
                <w:szCs w:val="20"/>
              </w:rPr>
            </w:pPr>
          </w:p>
        </w:tc>
        <w:tc>
          <w:tcPr>
            <w:tcW w:w="840" w:type="dxa"/>
            <w:vMerge w:val="continue"/>
            <w:tcBorders>
              <w:left w:val="nil"/>
              <w:bottom w:val="single" w:color="auto" w:sz="4" w:space="0"/>
              <w:right w:val="single" w:color="auto" w:sz="4" w:space="0"/>
            </w:tcBorders>
            <w:noWrap w:val="0"/>
            <w:vAlign w:val="center"/>
          </w:tcPr>
          <w:p w14:paraId="03F7AFA0">
            <w:pPr>
              <w:rPr>
                <w:rFonts w:ascii="宋体" w:hAnsi="宋体" w:cs="宋体"/>
                <w:sz w:val="20"/>
                <w:szCs w:val="20"/>
              </w:rPr>
            </w:pPr>
          </w:p>
        </w:tc>
      </w:tr>
      <w:tr w14:paraId="65C65934">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2E424C22">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noWrap w:val="0"/>
            <w:vAlign w:val="center"/>
          </w:tcPr>
          <w:p w14:paraId="1ED7AD3F">
            <w:pPr>
              <w:rPr>
                <w:rFonts w:ascii="宋体" w:hAnsi="宋体" w:cs="宋体"/>
                <w:sz w:val="20"/>
                <w:szCs w:val="20"/>
              </w:rPr>
            </w:pPr>
          </w:p>
        </w:tc>
        <w:tc>
          <w:tcPr>
            <w:tcW w:w="940" w:type="dxa"/>
            <w:tcBorders>
              <w:top w:val="nil"/>
              <w:left w:val="single" w:color="auto" w:sz="4" w:space="0"/>
              <w:bottom w:val="single" w:color="000000" w:sz="4" w:space="0"/>
              <w:right w:val="single" w:color="auto" w:sz="4" w:space="0"/>
            </w:tcBorders>
            <w:noWrap w:val="0"/>
            <w:vAlign w:val="center"/>
          </w:tcPr>
          <w:p w14:paraId="4AC7ABB1">
            <w:pPr>
              <w:jc w:val="center"/>
              <w:rPr>
                <w:rFonts w:hint="eastAsia" w:eastAsia="宋体"/>
                <w:sz w:val="20"/>
                <w:szCs w:val="20"/>
                <w:lang w:eastAsia="zh-CN"/>
              </w:rPr>
            </w:pPr>
            <w:r>
              <w:rPr>
                <w:rFonts w:hint="eastAsia"/>
                <w:sz w:val="20"/>
                <w:szCs w:val="20"/>
              </w:rPr>
              <w:t>可持续影响</w:t>
            </w:r>
          </w:p>
          <w:p w14:paraId="037A0588">
            <w:pPr>
              <w:jc w:val="center"/>
              <w:rPr>
                <w:rFonts w:ascii="宋体" w:hAnsi="宋体" w:cs="宋体"/>
                <w:sz w:val="20"/>
                <w:szCs w:val="20"/>
              </w:rPr>
            </w:pPr>
            <w:r>
              <w:rPr>
                <w:rFonts w:hint="eastAsia"/>
                <w:sz w:val="20"/>
                <w:szCs w:val="20"/>
              </w:rPr>
              <w:t>指标</w:t>
            </w:r>
          </w:p>
        </w:tc>
        <w:tc>
          <w:tcPr>
            <w:tcW w:w="1523" w:type="dxa"/>
            <w:tcBorders>
              <w:top w:val="nil"/>
              <w:left w:val="nil"/>
              <w:bottom w:val="single" w:color="auto" w:sz="4" w:space="0"/>
              <w:right w:val="single" w:color="auto" w:sz="4" w:space="0"/>
            </w:tcBorders>
            <w:noWrap w:val="0"/>
            <w:vAlign w:val="center"/>
          </w:tcPr>
          <w:p w14:paraId="2366804F">
            <w:pPr>
              <w:rPr>
                <w:rFonts w:ascii="宋体" w:hAnsi="宋体" w:cs="宋体"/>
                <w:sz w:val="20"/>
                <w:szCs w:val="20"/>
              </w:rPr>
            </w:pPr>
            <w:r>
              <w:rPr>
                <w:rFonts w:hint="eastAsia"/>
                <w:sz w:val="20"/>
                <w:szCs w:val="20"/>
              </w:rPr>
              <w:t xml:space="preserve"> 指标1：提升区域法治影响力</w:t>
            </w:r>
          </w:p>
        </w:tc>
        <w:tc>
          <w:tcPr>
            <w:tcW w:w="1200" w:type="dxa"/>
            <w:tcBorders>
              <w:top w:val="nil"/>
              <w:left w:val="nil"/>
              <w:bottom w:val="single" w:color="auto" w:sz="4" w:space="0"/>
              <w:right w:val="single" w:color="auto" w:sz="4" w:space="0"/>
            </w:tcBorders>
            <w:noWrap w:val="0"/>
            <w:vAlign w:val="center"/>
          </w:tcPr>
          <w:p w14:paraId="2D629F0C">
            <w:pPr>
              <w:rPr>
                <w:rFonts w:ascii="宋体" w:hAnsi="宋体" w:cs="宋体"/>
                <w:sz w:val="20"/>
                <w:szCs w:val="20"/>
              </w:rPr>
            </w:pPr>
            <w:r>
              <w:rPr>
                <w:rFonts w:hint="eastAsia" w:ascii="宋体" w:hAnsi="宋体"/>
                <w:sz w:val="20"/>
                <w:szCs w:val="20"/>
              </w:rPr>
              <w:t>推动社会治理水平，促进社会和谐稳定</w:t>
            </w:r>
          </w:p>
        </w:tc>
        <w:tc>
          <w:tcPr>
            <w:tcW w:w="928" w:type="dxa"/>
            <w:tcBorders>
              <w:top w:val="nil"/>
              <w:left w:val="nil"/>
              <w:bottom w:val="single" w:color="auto" w:sz="4" w:space="0"/>
              <w:right w:val="single" w:color="auto" w:sz="4" w:space="0"/>
            </w:tcBorders>
            <w:noWrap w:val="0"/>
            <w:vAlign w:val="center"/>
          </w:tcPr>
          <w:p w14:paraId="60C0DA34">
            <w:pPr>
              <w:rPr>
                <w:rFonts w:ascii="宋体" w:hAnsi="宋体" w:cs="宋体"/>
                <w:kern w:val="2"/>
                <w:sz w:val="20"/>
                <w:szCs w:val="20"/>
                <w:lang w:val="en-US" w:eastAsia="zh-CN" w:bidi="ar-SA"/>
              </w:rPr>
            </w:pPr>
            <w:r>
              <w:rPr>
                <w:rFonts w:hint="eastAsia" w:ascii="宋体" w:hAnsi="宋体"/>
                <w:sz w:val="20"/>
                <w:szCs w:val="20"/>
              </w:rPr>
              <w:t>推动社会治理水平，促进社会和谐稳定</w:t>
            </w:r>
          </w:p>
        </w:tc>
        <w:tc>
          <w:tcPr>
            <w:tcW w:w="677" w:type="dxa"/>
            <w:tcBorders>
              <w:top w:val="nil"/>
              <w:left w:val="single" w:color="auto" w:sz="4" w:space="0"/>
              <w:bottom w:val="single" w:color="000000" w:sz="4" w:space="0"/>
              <w:right w:val="single" w:color="auto" w:sz="4" w:space="0"/>
            </w:tcBorders>
            <w:noWrap w:val="0"/>
            <w:vAlign w:val="center"/>
          </w:tcPr>
          <w:p w14:paraId="07F92F8A">
            <w:pPr>
              <w:jc w:val="center"/>
              <w:rPr>
                <w:sz w:val="20"/>
                <w:szCs w:val="20"/>
              </w:rPr>
            </w:pPr>
            <w:r>
              <w:rPr>
                <w:rFonts w:hint="eastAsia"/>
                <w:sz w:val="20"/>
                <w:szCs w:val="20"/>
              </w:rPr>
              <w:t>可持续</w:t>
            </w:r>
          </w:p>
          <w:p w14:paraId="1A494FB0">
            <w:pPr>
              <w:jc w:val="center"/>
              <w:rPr>
                <w:sz w:val="20"/>
                <w:szCs w:val="20"/>
              </w:rPr>
            </w:pPr>
            <w:r>
              <w:rPr>
                <w:rFonts w:hint="eastAsia"/>
                <w:sz w:val="20"/>
                <w:szCs w:val="20"/>
              </w:rPr>
              <w:t>影响</w:t>
            </w:r>
          </w:p>
          <w:p w14:paraId="7BE61054">
            <w:pPr>
              <w:jc w:val="center"/>
              <w:rPr>
                <w:rFonts w:ascii="宋体" w:hAnsi="宋体" w:cs="宋体"/>
                <w:sz w:val="20"/>
                <w:szCs w:val="20"/>
              </w:rPr>
            </w:pPr>
            <w:r>
              <w:rPr>
                <w:rFonts w:hint="eastAsia"/>
                <w:sz w:val="20"/>
                <w:szCs w:val="20"/>
              </w:rPr>
              <w:t>指标</w:t>
            </w:r>
          </w:p>
        </w:tc>
        <w:tc>
          <w:tcPr>
            <w:tcW w:w="1140" w:type="dxa"/>
            <w:tcBorders>
              <w:top w:val="single" w:color="auto" w:sz="4" w:space="0"/>
              <w:left w:val="nil"/>
              <w:bottom w:val="single" w:color="auto" w:sz="4" w:space="0"/>
              <w:right w:val="single" w:color="auto" w:sz="4" w:space="0"/>
            </w:tcBorders>
            <w:noWrap w:val="0"/>
            <w:vAlign w:val="center"/>
          </w:tcPr>
          <w:p w14:paraId="007B5A62">
            <w:pPr>
              <w:rPr>
                <w:rFonts w:ascii="宋体" w:hAnsi="宋体" w:cs="宋体"/>
                <w:kern w:val="2"/>
                <w:sz w:val="20"/>
                <w:szCs w:val="20"/>
                <w:lang w:val="en-US" w:eastAsia="zh-CN" w:bidi="ar-SA"/>
              </w:rPr>
            </w:pPr>
            <w:r>
              <w:rPr>
                <w:rFonts w:hint="eastAsia"/>
                <w:sz w:val="20"/>
                <w:szCs w:val="20"/>
              </w:rPr>
              <w:t xml:space="preserve"> 指标1：提升区域法治影响力</w:t>
            </w:r>
          </w:p>
        </w:tc>
        <w:tc>
          <w:tcPr>
            <w:tcW w:w="840" w:type="dxa"/>
            <w:tcBorders>
              <w:top w:val="nil"/>
              <w:left w:val="nil"/>
              <w:bottom w:val="single" w:color="auto" w:sz="4" w:space="0"/>
              <w:right w:val="single" w:color="auto" w:sz="4" w:space="0"/>
            </w:tcBorders>
            <w:noWrap w:val="0"/>
            <w:vAlign w:val="center"/>
          </w:tcPr>
          <w:p w14:paraId="154726B3">
            <w:pPr>
              <w:rPr>
                <w:rFonts w:ascii="宋体" w:hAnsi="宋体" w:cs="宋体"/>
                <w:kern w:val="2"/>
                <w:sz w:val="20"/>
                <w:szCs w:val="20"/>
                <w:lang w:val="en-US" w:eastAsia="zh-CN" w:bidi="ar-SA"/>
              </w:rPr>
            </w:pPr>
            <w:r>
              <w:rPr>
                <w:rFonts w:hint="eastAsia" w:ascii="宋体" w:hAnsi="宋体"/>
                <w:sz w:val="20"/>
                <w:szCs w:val="20"/>
              </w:rPr>
              <w:t>推动社会治理水平，促进社会和谐稳定</w:t>
            </w:r>
          </w:p>
        </w:tc>
        <w:tc>
          <w:tcPr>
            <w:tcW w:w="840" w:type="dxa"/>
            <w:tcBorders>
              <w:top w:val="nil"/>
              <w:left w:val="nil"/>
              <w:bottom w:val="single" w:color="auto" w:sz="4" w:space="0"/>
              <w:right w:val="single" w:color="auto" w:sz="4" w:space="0"/>
            </w:tcBorders>
            <w:noWrap w:val="0"/>
            <w:vAlign w:val="center"/>
          </w:tcPr>
          <w:p w14:paraId="1495824D">
            <w:pPr>
              <w:rPr>
                <w:rFonts w:ascii="宋体" w:hAnsi="宋体" w:cs="宋体"/>
                <w:kern w:val="2"/>
                <w:sz w:val="20"/>
                <w:szCs w:val="20"/>
                <w:lang w:val="en-US" w:eastAsia="zh-CN" w:bidi="ar-SA"/>
              </w:rPr>
            </w:pPr>
            <w:r>
              <w:rPr>
                <w:rFonts w:hint="eastAsia" w:ascii="宋体" w:hAnsi="宋体"/>
                <w:sz w:val="20"/>
                <w:szCs w:val="20"/>
              </w:rPr>
              <w:t>推动社会治理水平，促进社会和谐稳定</w:t>
            </w:r>
          </w:p>
        </w:tc>
      </w:tr>
      <w:tr w14:paraId="6A8DC6AF">
        <w:tblPrEx>
          <w:tblCellMar>
            <w:top w:w="0" w:type="dxa"/>
            <w:left w:w="108" w:type="dxa"/>
            <w:bottom w:w="0" w:type="dxa"/>
            <w:right w:w="108" w:type="dxa"/>
          </w:tblCellMar>
        </w:tblPrEx>
        <w:trPr>
          <w:trHeight w:val="2059"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2418A46C">
            <w:pPr>
              <w:rPr>
                <w:rFonts w:ascii="宋体" w:hAnsi="宋体" w:cs="宋体"/>
                <w:sz w:val="20"/>
                <w:szCs w:val="20"/>
              </w:rPr>
            </w:pPr>
          </w:p>
        </w:tc>
        <w:tc>
          <w:tcPr>
            <w:tcW w:w="820" w:type="dxa"/>
            <w:tcBorders>
              <w:top w:val="nil"/>
              <w:left w:val="single" w:color="auto" w:sz="4" w:space="0"/>
              <w:bottom w:val="single" w:color="000000" w:sz="4" w:space="0"/>
              <w:right w:val="single" w:color="auto" w:sz="4" w:space="0"/>
            </w:tcBorders>
            <w:noWrap w:val="0"/>
            <w:vAlign w:val="center"/>
          </w:tcPr>
          <w:p w14:paraId="1F5C8ABE">
            <w:pPr>
              <w:jc w:val="center"/>
              <w:rPr>
                <w:rFonts w:ascii="宋体" w:hAnsi="宋体" w:cs="宋体"/>
                <w:sz w:val="20"/>
                <w:szCs w:val="20"/>
              </w:rPr>
            </w:pPr>
            <w:r>
              <w:rPr>
                <w:rFonts w:hint="eastAsia"/>
                <w:sz w:val="20"/>
                <w:szCs w:val="20"/>
              </w:rPr>
              <w:t>满意度指标</w:t>
            </w:r>
          </w:p>
        </w:tc>
        <w:tc>
          <w:tcPr>
            <w:tcW w:w="940" w:type="dxa"/>
            <w:tcBorders>
              <w:top w:val="single" w:color="auto" w:sz="4" w:space="0"/>
              <w:left w:val="single" w:color="auto" w:sz="4" w:space="0"/>
              <w:bottom w:val="single" w:color="auto" w:sz="4" w:space="0"/>
              <w:right w:val="single" w:color="auto" w:sz="4" w:space="0"/>
            </w:tcBorders>
            <w:noWrap w:val="0"/>
            <w:vAlign w:val="center"/>
          </w:tcPr>
          <w:p w14:paraId="5EE524A4">
            <w:pPr>
              <w:jc w:val="center"/>
              <w:rPr>
                <w:rFonts w:hint="eastAsia"/>
                <w:sz w:val="20"/>
                <w:szCs w:val="20"/>
              </w:rPr>
            </w:pPr>
            <w:r>
              <w:rPr>
                <w:rFonts w:hint="eastAsia"/>
                <w:sz w:val="20"/>
                <w:szCs w:val="20"/>
              </w:rPr>
              <w:t>服务对象满意度指标</w:t>
            </w:r>
          </w:p>
          <w:p w14:paraId="556FCF94">
            <w:pPr>
              <w:jc w:val="center"/>
              <w:rPr>
                <w:rFonts w:ascii="宋体" w:hAnsi="宋体" w:cs="宋体"/>
                <w:sz w:val="20"/>
                <w:szCs w:val="20"/>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14:paraId="362933D3">
            <w:pPr>
              <w:rPr>
                <w:rFonts w:hint="eastAsia"/>
                <w:sz w:val="20"/>
                <w:szCs w:val="20"/>
              </w:rPr>
            </w:pPr>
            <w:r>
              <w:rPr>
                <w:rFonts w:hint="eastAsia"/>
                <w:sz w:val="20"/>
                <w:szCs w:val="20"/>
              </w:rPr>
              <w:t xml:space="preserve"> 指标1：项目预期服务对象对项目实施的满意程度</w:t>
            </w:r>
          </w:p>
          <w:p w14:paraId="0A1A4BE0">
            <w:pPr>
              <w:rPr>
                <w:rFonts w:ascii="宋体" w:hAnsi="宋体" w:cs="宋体"/>
                <w:sz w:val="20"/>
                <w:szCs w:val="20"/>
              </w:rPr>
            </w:pPr>
            <w:r>
              <w:rPr>
                <w:rFonts w:hint="eastAsia"/>
                <w:sz w:val="20"/>
                <w:szCs w:val="20"/>
              </w:rPr>
              <w:t>　</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C2BBEFE">
            <w:pPr>
              <w:jc w:val="center"/>
              <w:rPr>
                <w:rFonts w:ascii="宋体" w:hAnsi="宋体" w:cs="宋体"/>
                <w:sz w:val="20"/>
                <w:szCs w:val="20"/>
              </w:rPr>
            </w:pPr>
            <w:r>
              <w:rPr>
                <w:rFonts w:hint="eastAsia" w:ascii="宋体" w:hAnsi="宋体" w:cs="宋体"/>
                <w:color w:val="000000"/>
                <w:kern w:val="0"/>
                <w:sz w:val="18"/>
                <w:szCs w:val="18"/>
              </w:rPr>
              <w:t>保障公民在遇到法律问题或者合法权益受到侵害时获得及时有效的法律帮助</w:t>
            </w:r>
            <w:r>
              <w:rPr>
                <w:rFonts w:hint="eastAsia"/>
                <w:sz w:val="20"/>
                <w:szCs w:val="20"/>
              </w:rPr>
              <w:t>　</w:t>
            </w:r>
          </w:p>
          <w:p w14:paraId="1C10D459">
            <w:pPr>
              <w:jc w:val="center"/>
              <w:rPr>
                <w:rFonts w:ascii="宋体" w:hAnsi="宋体" w:cs="宋体"/>
                <w:sz w:val="20"/>
                <w:szCs w:val="20"/>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4D8DEBA7">
            <w:pPr>
              <w:jc w:val="center"/>
              <w:rPr>
                <w:rFonts w:ascii="宋体" w:hAnsi="宋体" w:cs="宋体"/>
                <w:sz w:val="20"/>
                <w:szCs w:val="20"/>
              </w:rPr>
            </w:pPr>
            <w:r>
              <w:rPr>
                <w:rFonts w:hint="eastAsia" w:ascii="宋体" w:hAnsi="宋体" w:cs="宋体"/>
                <w:color w:val="000000"/>
                <w:kern w:val="0"/>
                <w:sz w:val="18"/>
                <w:szCs w:val="18"/>
              </w:rPr>
              <w:t>保障公民在遇到法律问题或者合法权益受到侵害时获得及时有效的法律帮助</w:t>
            </w:r>
            <w:r>
              <w:rPr>
                <w:rFonts w:hint="eastAsia"/>
                <w:sz w:val="20"/>
                <w:szCs w:val="20"/>
              </w:rPr>
              <w:t>　</w:t>
            </w:r>
          </w:p>
          <w:p w14:paraId="185883F2">
            <w:pPr>
              <w:jc w:val="center"/>
              <w:rPr>
                <w:rFonts w:ascii="宋体" w:hAnsi="宋体" w:cs="宋体"/>
                <w:kern w:val="2"/>
                <w:sz w:val="20"/>
                <w:szCs w:val="20"/>
                <w:lang w:val="en-US" w:eastAsia="zh-CN" w:bidi="ar-SA"/>
              </w:rPr>
            </w:pPr>
          </w:p>
        </w:tc>
        <w:tc>
          <w:tcPr>
            <w:tcW w:w="677" w:type="dxa"/>
            <w:tcBorders>
              <w:top w:val="single" w:color="auto" w:sz="4" w:space="0"/>
              <w:left w:val="single" w:color="auto" w:sz="4" w:space="0"/>
              <w:bottom w:val="single" w:color="auto" w:sz="4" w:space="0"/>
              <w:right w:val="single" w:color="auto" w:sz="4" w:space="0"/>
            </w:tcBorders>
            <w:noWrap w:val="0"/>
            <w:vAlign w:val="center"/>
          </w:tcPr>
          <w:p w14:paraId="3CECFA4E">
            <w:pPr>
              <w:jc w:val="center"/>
              <w:rPr>
                <w:sz w:val="20"/>
                <w:szCs w:val="20"/>
              </w:rPr>
            </w:pPr>
            <w:r>
              <w:rPr>
                <w:rFonts w:hint="eastAsia"/>
                <w:sz w:val="20"/>
                <w:szCs w:val="20"/>
              </w:rPr>
              <w:t>服务对</w:t>
            </w:r>
          </w:p>
          <w:p w14:paraId="76FB570B">
            <w:pPr>
              <w:jc w:val="center"/>
              <w:rPr>
                <w:sz w:val="20"/>
                <w:szCs w:val="20"/>
              </w:rPr>
            </w:pPr>
            <w:r>
              <w:rPr>
                <w:rFonts w:hint="eastAsia"/>
                <w:sz w:val="20"/>
                <w:szCs w:val="20"/>
              </w:rPr>
              <w:t>象满意</w:t>
            </w:r>
          </w:p>
          <w:p w14:paraId="50B9DF7A">
            <w:pPr>
              <w:jc w:val="center"/>
              <w:rPr>
                <w:rFonts w:hint="eastAsia"/>
                <w:sz w:val="20"/>
                <w:szCs w:val="20"/>
              </w:rPr>
            </w:pPr>
            <w:r>
              <w:rPr>
                <w:rFonts w:hint="eastAsia"/>
                <w:sz w:val="20"/>
                <w:szCs w:val="20"/>
              </w:rPr>
              <w:t>度指标</w:t>
            </w:r>
          </w:p>
          <w:p w14:paraId="281C4241">
            <w:pPr>
              <w:jc w:val="center"/>
              <w:rPr>
                <w:rFonts w:ascii="宋体" w:hAnsi="宋体" w:cs="宋体"/>
                <w:sz w:val="20"/>
                <w:szCs w:val="20"/>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64A63658">
            <w:pPr>
              <w:rPr>
                <w:rFonts w:hint="eastAsia"/>
                <w:sz w:val="20"/>
                <w:szCs w:val="20"/>
              </w:rPr>
            </w:pPr>
            <w:r>
              <w:rPr>
                <w:rFonts w:hint="eastAsia"/>
                <w:sz w:val="20"/>
                <w:szCs w:val="20"/>
              </w:rPr>
              <w:t xml:space="preserve"> 指标1：项目预期服务对象对项目实施的满意程度</w:t>
            </w:r>
          </w:p>
          <w:p w14:paraId="70E5F85F">
            <w:pPr>
              <w:rPr>
                <w:rFonts w:ascii="宋体" w:hAnsi="宋体" w:cs="宋体"/>
                <w:kern w:val="2"/>
                <w:sz w:val="20"/>
                <w:szCs w:val="20"/>
                <w:lang w:val="en-US" w:eastAsia="zh-CN" w:bidi="ar-SA"/>
              </w:rPr>
            </w:pPr>
            <w:r>
              <w:rPr>
                <w:rFonts w:hint="eastAsia"/>
                <w:sz w:val="20"/>
                <w:szCs w:val="20"/>
              </w:rPr>
              <w:t>　</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3C7A55AE">
            <w:pPr>
              <w:jc w:val="center"/>
              <w:rPr>
                <w:rFonts w:ascii="宋体" w:hAnsi="宋体" w:cs="宋体"/>
                <w:sz w:val="20"/>
                <w:szCs w:val="20"/>
              </w:rPr>
            </w:pPr>
            <w:r>
              <w:rPr>
                <w:rFonts w:hint="eastAsia" w:ascii="宋体" w:hAnsi="宋体" w:cs="宋体"/>
                <w:color w:val="000000"/>
                <w:kern w:val="0"/>
                <w:sz w:val="18"/>
                <w:szCs w:val="18"/>
              </w:rPr>
              <w:t>保障公民在遇到法律问题或者合法权益受到侵害时获得及时有效的法律帮助</w:t>
            </w:r>
            <w:r>
              <w:rPr>
                <w:rFonts w:hint="eastAsia"/>
                <w:sz w:val="20"/>
                <w:szCs w:val="20"/>
              </w:rPr>
              <w:t>　</w:t>
            </w:r>
          </w:p>
          <w:p w14:paraId="73BB02DA">
            <w:pPr>
              <w:jc w:val="center"/>
              <w:rPr>
                <w:rFonts w:ascii="宋体" w:hAnsi="宋体" w:cs="宋体"/>
                <w:kern w:val="2"/>
                <w:sz w:val="20"/>
                <w:szCs w:val="20"/>
                <w:lang w:val="en-US" w:eastAsia="zh-CN" w:bidi="ar-SA"/>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7FFA2A51">
            <w:pPr>
              <w:jc w:val="center"/>
              <w:rPr>
                <w:rFonts w:ascii="宋体" w:hAnsi="宋体" w:cs="宋体"/>
                <w:sz w:val="20"/>
                <w:szCs w:val="20"/>
              </w:rPr>
            </w:pPr>
            <w:r>
              <w:rPr>
                <w:rFonts w:hint="eastAsia" w:ascii="宋体" w:hAnsi="宋体" w:cs="宋体"/>
                <w:color w:val="000000"/>
                <w:kern w:val="0"/>
                <w:sz w:val="18"/>
                <w:szCs w:val="18"/>
              </w:rPr>
              <w:t>保障公民在遇到法律问题或者合法权益受到侵害时获得及时有效的法律帮助</w:t>
            </w:r>
            <w:r>
              <w:rPr>
                <w:rFonts w:hint="eastAsia"/>
                <w:sz w:val="20"/>
                <w:szCs w:val="20"/>
              </w:rPr>
              <w:t>　</w:t>
            </w:r>
          </w:p>
          <w:p w14:paraId="05D87FE0">
            <w:pPr>
              <w:jc w:val="center"/>
              <w:rPr>
                <w:rFonts w:ascii="宋体" w:hAnsi="宋体" w:cs="宋体"/>
                <w:kern w:val="2"/>
                <w:sz w:val="20"/>
                <w:szCs w:val="20"/>
                <w:lang w:val="en-US" w:eastAsia="zh-CN" w:bidi="ar-SA"/>
              </w:rPr>
            </w:pPr>
          </w:p>
        </w:tc>
      </w:tr>
    </w:tbl>
    <w:p w14:paraId="3038648F">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2"/>
        <w:rPr>
          <w:rFonts w:hint="default" w:ascii="仿宋" w:hAnsi="仿宋" w:eastAsia="仿宋"/>
          <w:b/>
          <w:color w:val="000000"/>
          <w:sz w:val="32"/>
          <w:szCs w:val="32"/>
          <w:lang w:val="en-US" w:eastAsia="zh-CN"/>
        </w:rPr>
      </w:pPr>
    </w:p>
    <w:tbl>
      <w:tblPr>
        <w:tblStyle w:val="8"/>
        <w:tblW w:w="9324" w:type="dxa"/>
        <w:tblInd w:w="93" w:type="dxa"/>
        <w:tblLayout w:type="fixed"/>
        <w:tblCellMar>
          <w:top w:w="0" w:type="dxa"/>
          <w:left w:w="108" w:type="dxa"/>
          <w:bottom w:w="0" w:type="dxa"/>
          <w:right w:w="108" w:type="dxa"/>
        </w:tblCellMar>
      </w:tblPr>
      <w:tblGrid>
        <w:gridCol w:w="416"/>
        <w:gridCol w:w="820"/>
        <w:gridCol w:w="940"/>
        <w:gridCol w:w="1523"/>
        <w:gridCol w:w="1200"/>
        <w:gridCol w:w="928"/>
        <w:gridCol w:w="677"/>
        <w:gridCol w:w="1140"/>
        <w:gridCol w:w="840"/>
        <w:gridCol w:w="840"/>
      </w:tblGrid>
      <w:tr w14:paraId="01053742">
        <w:tblPrEx>
          <w:tblCellMar>
            <w:top w:w="0" w:type="dxa"/>
            <w:left w:w="108" w:type="dxa"/>
            <w:bottom w:w="0" w:type="dxa"/>
            <w:right w:w="108" w:type="dxa"/>
          </w:tblCellMar>
        </w:tblPrEx>
        <w:trPr>
          <w:trHeight w:val="360" w:hRule="atLeast"/>
        </w:trPr>
        <w:tc>
          <w:tcPr>
            <w:tcW w:w="9324" w:type="dxa"/>
            <w:gridSpan w:val="10"/>
            <w:tcBorders>
              <w:top w:val="nil"/>
              <w:left w:val="nil"/>
              <w:bottom w:val="nil"/>
              <w:right w:val="nil"/>
            </w:tcBorders>
            <w:noWrap w:val="0"/>
            <w:vAlign w:val="center"/>
          </w:tcPr>
          <w:p w14:paraId="5E7C4EA3">
            <w:pPr>
              <w:adjustRightInd w:val="0"/>
              <w:snapToGrid w:val="0"/>
              <w:spacing w:line="600" w:lineRule="exact"/>
              <w:ind w:firstLine="803" w:firstLineChars="250"/>
              <w:rPr>
                <w:rFonts w:ascii="仿宋_GB2312" w:hAnsi="楷体" w:eastAsia="仿宋_GB2312"/>
                <w:b/>
                <w:sz w:val="32"/>
                <w:szCs w:val="32"/>
              </w:rPr>
            </w:pPr>
            <w:r>
              <w:rPr>
                <w:rFonts w:hint="eastAsia" w:ascii="仿宋_GB2312" w:hAnsi="楷体" w:eastAsia="仿宋_GB2312"/>
                <w:b/>
                <w:sz w:val="32"/>
                <w:szCs w:val="32"/>
                <w:lang w:val="en-US" w:eastAsia="zh-CN"/>
              </w:rPr>
              <w:t>3</w:t>
            </w:r>
            <w:r>
              <w:rPr>
                <w:rFonts w:hint="eastAsia" w:ascii="仿宋_GB2312" w:hAnsi="楷体" w:eastAsia="仿宋_GB2312"/>
                <w:b/>
                <w:sz w:val="32"/>
                <w:szCs w:val="32"/>
              </w:rPr>
              <w:t>.“</w:t>
            </w:r>
            <w:r>
              <w:rPr>
                <w:rFonts w:hint="eastAsia" w:ascii="仿宋" w:hAnsi="仿宋" w:eastAsia="仿宋"/>
                <w:b/>
                <w:color w:val="000000"/>
                <w:sz w:val="32"/>
                <w:szCs w:val="32"/>
              </w:rPr>
              <w:t>单位运行劳务费</w:t>
            </w:r>
            <w:r>
              <w:rPr>
                <w:rFonts w:hint="eastAsia" w:ascii="仿宋_GB2312" w:hAnsi="楷体" w:eastAsia="仿宋_GB2312"/>
                <w:b/>
                <w:sz w:val="32"/>
                <w:szCs w:val="32"/>
              </w:rPr>
              <w:t>”项目。</w:t>
            </w:r>
          </w:p>
          <w:p w14:paraId="65FE4CD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（1）项目概述。</w:t>
            </w:r>
            <w:r>
              <w:rPr>
                <w:rFonts w:hint="eastAsia" w:ascii="仿宋" w:hAnsi="仿宋" w:eastAsia="仿宋"/>
                <w:color w:val="000000"/>
                <w:sz w:val="32"/>
                <w:szCs w:val="32"/>
                <w:lang w:eastAsia="zh-CN"/>
              </w:rPr>
              <w:t>公益性岗位续聘人员</w:t>
            </w:r>
            <w:r>
              <w:rPr>
                <w:rFonts w:hint="eastAsia" w:ascii="仿宋" w:hAnsi="仿宋" w:eastAsia="仿宋"/>
                <w:color w:val="000000"/>
                <w:sz w:val="32"/>
                <w:szCs w:val="32"/>
                <w:lang w:val="en-US" w:eastAsia="zh-CN"/>
              </w:rPr>
              <w:t>1名</w:t>
            </w:r>
            <w:r>
              <w:rPr>
                <w:rFonts w:hint="eastAsia" w:ascii="仿宋" w:hAnsi="仿宋" w:eastAsia="仿宋"/>
                <w:color w:val="000000"/>
                <w:sz w:val="32"/>
                <w:szCs w:val="32"/>
                <w:lang w:eastAsia="zh-CN"/>
              </w:rPr>
              <w:t>，每月工资</w:t>
            </w:r>
            <w:r>
              <w:rPr>
                <w:rFonts w:hint="eastAsia" w:ascii="仿宋" w:hAnsi="仿宋" w:eastAsia="仿宋"/>
                <w:color w:val="000000"/>
                <w:sz w:val="32"/>
                <w:szCs w:val="32"/>
                <w:lang w:val="en-US" w:eastAsia="zh-CN"/>
              </w:rPr>
              <w:t>2950元，单位缴纳社保841.64元。</w:t>
            </w:r>
          </w:p>
          <w:p w14:paraId="5B8C6BE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（2）立项依据。</w:t>
            </w:r>
            <w:r>
              <w:rPr>
                <w:rFonts w:hint="eastAsia" w:ascii="仿宋" w:hAnsi="仿宋" w:eastAsia="仿宋"/>
                <w:sz w:val="32"/>
                <w:szCs w:val="32"/>
                <w:lang w:val="en-US" w:eastAsia="zh-CN"/>
              </w:rPr>
              <w:t>2021</w:t>
            </w:r>
            <w:r>
              <w:rPr>
                <w:rFonts w:hint="eastAsia" w:ascii="仿宋" w:hAnsi="仿宋" w:eastAsia="仿宋"/>
                <w:sz w:val="32"/>
                <w:szCs w:val="32"/>
              </w:rPr>
              <w:t>年相山区公益性岗位（第二批）招聘公告</w:t>
            </w:r>
          </w:p>
          <w:p w14:paraId="20424EFA">
            <w:pPr>
              <w:adjustRightInd w:val="0"/>
              <w:snapToGrid w:val="0"/>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（3）实施主体：淮北市</w:t>
            </w:r>
            <w:r>
              <w:rPr>
                <w:rFonts w:hint="eastAsia" w:ascii="仿宋_GB2312" w:hAnsi="仿宋_GB2312" w:eastAsia="仿宋_GB2312" w:cs="仿宋_GB2312"/>
                <w:sz w:val="32"/>
                <w:szCs w:val="32"/>
                <w:lang w:val="en-US" w:eastAsia="zh-CN"/>
              </w:rPr>
              <w:t>司法局</w:t>
            </w:r>
          </w:p>
          <w:p w14:paraId="1B48B52F">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（4）起止时间。202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年1月-202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年12月</w:t>
            </w:r>
          </w:p>
          <w:p w14:paraId="0007FBDD">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（5）项目内容。</w:t>
            </w:r>
            <w:r>
              <w:rPr>
                <w:rFonts w:hint="eastAsia" w:ascii="仿宋" w:hAnsi="仿宋" w:eastAsia="仿宋"/>
                <w:color w:val="000000"/>
                <w:sz w:val="32"/>
                <w:szCs w:val="32"/>
                <w:lang w:eastAsia="zh-CN"/>
              </w:rPr>
              <w:t>公益性岗位续聘人员</w:t>
            </w:r>
            <w:r>
              <w:rPr>
                <w:rFonts w:hint="eastAsia" w:ascii="仿宋" w:hAnsi="仿宋" w:eastAsia="仿宋"/>
                <w:color w:val="000000"/>
                <w:sz w:val="32"/>
                <w:szCs w:val="32"/>
                <w:lang w:val="en-US" w:eastAsia="zh-CN"/>
              </w:rPr>
              <w:t>1名</w:t>
            </w:r>
            <w:r>
              <w:rPr>
                <w:rFonts w:hint="eastAsia" w:ascii="仿宋" w:hAnsi="仿宋" w:eastAsia="仿宋"/>
                <w:color w:val="000000"/>
                <w:sz w:val="32"/>
                <w:szCs w:val="32"/>
                <w:lang w:eastAsia="zh-CN"/>
              </w:rPr>
              <w:t>，每月工资</w:t>
            </w:r>
            <w:r>
              <w:rPr>
                <w:rFonts w:hint="eastAsia" w:ascii="仿宋" w:hAnsi="仿宋" w:eastAsia="仿宋"/>
                <w:color w:val="000000"/>
                <w:sz w:val="32"/>
                <w:szCs w:val="32"/>
                <w:lang w:val="en-US" w:eastAsia="zh-CN"/>
              </w:rPr>
              <w:t>2950元，单位缴纳社保841.64元。</w:t>
            </w:r>
          </w:p>
          <w:p w14:paraId="18458FEA">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（6）年度预算安排</w:t>
            </w:r>
            <w:r>
              <w:rPr>
                <w:rFonts w:hint="eastAsia" w:ascii="仿宋_GB2312" w:hAnsi="仿宋_GB2312" w:eastAsia="仿宋_GB2312" w:cs="仿宋_GB2312"/>
                <w:sz w:val="32"/>
                <w:szCs w:val="32"/>
                <w:lang w:val="en-US" w:eastAsia="zh-CN"/>
              </w:rPr>
              <w:t>为5.5万元。</w:t>
            </w:r>
          </w:p>
          <w:p w14:paraId="2364644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（7）绩效目标。</w:t>
            </w:r>
          </w:p>
          <w:p w14:paraId="6C732575">
            <w:pPr>
              <w:ind w:firstLine="2731" w:firstLineChars="850"/>
              <w:rPr>
                <w:rFonts w:hint="eastAsia"/>
                <w:b/>
                <w:bCs/>
                <w:sz w:val="32"/>
                <w:szCs w:val="32"/>
              </w:rPr>
            </w:pPr>
          </w:p>
          <w:p w14:paraId="0C653E52">
            <w:pPr>
              <w:ind w:firstLine="2731" w:firstLineChars="850"/>
              <w:rPr>
                <w:rFonts w:ascii="宋体" w:hAnsi="宋体" w:cs="宋体"/>
                <w:b/>
                <w:bCs/>
                <w:sz w:val="32"/>
                <w:szCs w:val="32"/>
              </w:rPr>
            </w:pPr>
            <w:r>
              <w:rPr>
                <w:rFonts w:hint="eastAsia"/>
                <w:b/>
                <w:bCs/>
                <w:sz w:val="32"/>
                <w:szCs w:val="32"/>
              </w:rPr>
              <w:t>项目支出绩效目标表</w:t>
            </w:r>
          </w:p>
        </w:tc>
      </w:tr>
      <w:tr w14:paraId="01732490">
        <w:tblPrEx>
          <w:tblCellMar>
            <w:top w:w="0" w:type="dxa"/>
            <w:left w:w="108" w:type="dxa"/>
            <w:bottom w:w="0" w:type="dxa"/>
            <w:right w:w="108" w:type="dxa"/>
          </w:tblCellMar>
        </w:tblPrEx>
        <w:trPr>
          <w:trHeight w:val="270" w:hRule="atLeast"/>
        </w:trPr>
        <w:tc>
          <w:tcPr>
            <w:tcW w:w="9324" w:type="dxa"/>
            <w:gridSpan w:val="10"/>
            <w:tcBorders>
              <w:top w:val="nil"/>
              <w:left w:val="nil"/>
              <w:bottom w:val="nil"/>
              <w:right w:val="nil"/>
            </w:tcBorders>
            <w:noWrap w:val="0"/>
            <w:vAlign w:val="center"/>
          </w:tcPr>
          <w:p w14:paraId="5C0ECD98">
            <w:pPr>
              <w:jc w:val="center"/>
              <w:rPr>
                <w:rFonts w:ascii="宋体" w:hAnsi="宋体" w:cs="宋体"/>
                <w:sz w:val="20"/>
                <w:szCs w:val="20"/>
              </w:rPr>
            </w:pPr>
            <w:r>
              <w:rPr>
                <w:rFonts w:hint="eastAsia"/>
                <w:sz w:val="20"/>
                <w:szCs w:val="20"/>
              </w:rPr>
              <w:t>（202</w:t>
            </w:r>
            <w:r>
              <w:rPr>
                <w:rFonts w:hint="eastAsia"/>
                <w:sz w:val="20"/>
                <w:szCs w:val="20"/>
                <w:lang w:val="en-US" w:eastAsia="zh-CN"/>
              </w:rPr>
              <w:t>5</w:t>
            </w:r>
            <w:r>
              <w:rPr>
                <w:rFonts w:hint="eastAsia"/>
                <w:sz w:val="20"/>
                <w:szCs w:val="20"/>
              </w:rPr>
              <w:t xml:space="preserve"> 年度）</w:t>
            </w:r>
          </w:p>
        </w:tc>
      </w:tr>
      <w:tr w14:paraId="2FD2F0D3">
        <w:tblPrEx>
          <w:tblCellMar>
            <w:top w:w="0" w:type="dxa"/>
            <w:left w:w="108" w:type="dxa"/>
            <w:bottom w:w="0" w:type="dxa"/>
            <w:right w:w="108" w:type="dxa"/>
          </w:tblCellMar>
        </w:tblPrEx>
        <w:trPr>
          <w:trHeight w:val="330" w:hRule="atLeast"/>
        </w:trPr>
        <w:tc>
          <w:tcPr>
            <w:tcW w:w="1236" w:type="dxa"/>
            <w:gridSpan w:val="2"/>
            <w:tcBorders>
              <w:top w:val="single" w:color="auto" w:sz="4" w:space="0"/>
              <w:left w:val="single" w:color="auto" w:sz="4" w:space="0"/>
              <w:bottom w:val="single" w:color="auto" w:sz="4" w:space="0"/>
              <w:right w:val="single" w:color="auto" w:sz="4" w:space="0"/>
            </w:tcBorders>
            <w:noWrap w:val="0"/>
            <w:vAlign w:val="center"/>
          </w:tcPr>
          <w:p w14:paraId="7F726DDB">
            <w:pPr>
              <w:jc w:val="center"/>
              <w:rPr>
                <w:rFonts w:ascii="宋体" w:hAnsi="宋体" w:cs="宋体"/>
                <w:color w:val="000000"/>
                <w:sz w:val="20"/>
                <w:szCs w:val="20"/>
              </w:rPr>
            </w:pPr>
            <w:r>
              <w:rPr>
                <w:rFonts w:hint="eastAsia"/>
                <w:color w:val="000000"/>
                <w:sz w:val="20"/>
                <w:szCs w:val="20"/>
              </w:rPr>
              <w:t>项目名称</w:t>
            </w:r>
          </w:p>
        </w:tc>
        <w:tc>
          <w:tcPr>
            <w:tcW w:w="8088" w:type="dxa"/>
            <w:gridSpan w:val="8"/>
            <w:tcBorders>
              <w:top w:val="single" w:color="auto" w:sz="4" w:space="0"/>
              <w:left w:val="nil"/>
              <w:bottom w:val="single" w:color="auto" w:sz="4" w:space="0"/>
              <w:right w:val="single" w:color="000000" w:sz="4" w:space="0"/>
            </w:tcBorders>
            <w:noWrap w:val="0"/>
            <w:vAlign w:val="center"/>
          </w:tcPr>
          <w:p w14:paraId="79AA18CE">
            <w:pPr>
              <w:rPr>
                <w:rFonts w:ascii="宋体" w:hAnsi="宋体" w:cs="宋体"/>
                <w:color w:val="000000"/>
                <w:sz w:val="20"/>
                <w:szCs w:val="20"/>
              </w:rPr>
            </w:pPr>
            <w:r>
              <w:rPr>
                <w:rFonts w:hint="eastAsia" w:ascii="Times New Roman" w:hAnsi="Times New Roman" w:eastAsia="宋体" w:cs="Times New Roman"/>
                <w:color w:val="000000"/>
                <w:sz w:val="20"/>
                <w:szCs w:val="20"/>
              </w:rPr>
              <w:t>单位运行劳务费</w:t>
            </w:r>
          </w:p>
        </w:tc>
      </w:tr>
      <w:tr w14:paraId="66E05C75">
        <w:tblPrEx>
          <w:tblCellMar>
            <w:top w:w="0" w:type="dxa"/>
            <w:left w:w="108" w:type="dxa"/>
            <w:bottom w:w="0" w:type="dxa"/>
            <w:right w:w="108" w:type="dxa"/>
          </w:tblCellMar>
        </w:tblPrEx>
        <w:trPr>
          <w:trHeight w:val="330" w:hRule="atLeast"/>
        </w:trPr>
        <w:tc>
          <w:tcPr>
            <w:tcW w:w="1236" w:type="dxa"/>
            <w:gridSpan w:val="2"/>
            <w:tcBorders>
              <w:top w:val="single" w:color="auto" w:sz="4" w:space="0"/>
              <w:left w:val="single" w:color="auto" w:sz="4" w:space="0"/>
              <w:bottom w:val="single" w:color="auto" w:sz="4" w:space="0"/>
              <w:right w:val="single" w:color="auto" w:sz="4" w:space="0"/>
            </w:tcBorders>
            <w:noWrap w:val="0"/>
            <w:vAlign w:val="center"/>
          </w:tcPr>
          <w:p w14:paraId="53364BB1">
            <w:pPr>
              <w:jc w:val="center"/>
              <w:rPr>
                <w:rFonts w:ascii="宋体" w:hAnsi="宋体" w:cs="宋体"/>
                <w:color w:val="000000"/>
                <w:sz w:val="20"/>
                <w:szCs w:val="20"/>
              </w:rPr>
            </w:pPr>
            <w:r>
              <w:rPr>
                <w:rFonts w:hint="eastAsia"/>
                <w:color w:val="000000"/>
                <w:sz w:val="20"/>
                <w:szCs w:val="20"/>
              </w:rPr>
              <w:t>实施单位</w:t>
            </w:r>
          </w:p>
        </w:tc>
        <w:tc>
          <w:tcPr>
            <w:tcW w:w="8088" w:type="dxa"/>
            <w:gridSpan w:val="8"/>
            <w:tcBorders>
              <w:top w:val="single" w:color="auto" w:sz="4" w:space="0"/>
              <w:left w:val="nil"/>
              <w:bottom w:val="single" w:color="auto" w:sz="4" w:space="0"/>
              <w:right w:val="single" w:color="auto" w:sz="4" w:space="0"/>
            </w:tcBorders>
            <w:noWrap w:val="0"/>
            <w:vAlign w:val="center"/>
          </w:tcPr>
          <w:p w14:paraId="755C9E10">
            <w:pPr>
              <w:rPr>
                <w:rFonts w:hint="eastAsia" w:ascii="宋体" w:hAnsi="宋体" w:eastAsia="宋体" w:cs="宋体"/>
                <w:color w:val="000000"/>
                <w:sz w:val="20"/>
                <w:szCs w:val="20"/>
                <w:lang w:eastAsia="zh-CN"/>
              </w:rPr>
            </w:pPr>
            <w:r>
              <w:rPr>
                <w:rFonts w:hint="eastAsia"/>
                <w:color w:val="000000"/>
                <w:sz w:val="20"/>
                <w:szCs w:val="20"/>
              </w:rPr>
              <w:t>淮北市</w:t>
            </w:r>
            <w:r>
              <w:rPr>
                <w:rFonts w:hint="eastAsia"/>
                <w:color w:val="000000"/>
                <w:sz w:val="20"/>
                <w:szCs w:val="20"/>
                <w:lang w:val="en-US" w:eastAsia="zh-CN"/>
              </w:rPr>
              <w:t>司法局</w:t>
            </w:r>
          </w:p>
        </w:tc>
      </w:tr>
      <w:tr w14:paraId="1FED0238">
        <w:tblPrEx>
          <w:tblCellMar>
            <w:top w:w="0" w:type="dxa"/>
            <w:left w:w="108" w:type="dxa"/>
            <w:bottom w:w="0" w:type="dxa"/>
            <w:right w:w="108" w:type="dxa"/>
          </w:tblCellMar>
        </w:tblPrEx>
        <w:trPr>
          <w:trHeight w:val="330" w:hRule="atLeast"/>
        </w:trPr>
        <w:tc>
          <w:tcPr>
            <w:tcW w:w="1236" w:type="dxa"/>
            <w:gridSpan w:val="2"/>
            <w:tcBorders>
              <w:top w:val="single" w:color="auto" w:sz="4" w:space="0"/>
              <w:left w:val="single" w:color="auto" w:sz="4" w:space="0"/>
              <w:bottom w:val="single" w:color="auto" w:sz="4" w:space="0"/>
              <w:right w:val="single" w:color="auto" w:sz="4" w:space="0"/>
            </w:tcBorders>
            <w:noWrap w:val="0"/>
            <w:vAlign w:val="center"/>
          </w:tcPr>
          <w:p w14:paraId="3D27F60F">
            <w:pPr>
              <w:jc w:val="center"/>
              <w:rPr>
                <w:rFonts w:ascii="宋体" w:hAnsi="宋体" w:cs="宋体"/>
                <w:color w:val="000000"/>
                <w:sz w:val="20"/>
                <w:szCs w:val="20"/>
              </w:rPr>
            </w:pPr>
            <w:r>
              <w:rPr>
                <w:rFonts w:hint="eastAsia"/>
                <w:color w:val="000000"/>
                <w:sz w:val="20"/>
                <w:szCs w:val="20"/>
              </w:rPr>
              <w:t>项目属性</w:t>
            </w:r>
          </w:p>
        </w:tc>
        <w:tc>
          <w:tcPr>
            <w:tcW w:w="8088" w:type="dxa"/>
            <w:gridSpan w:val="8"/>
            <w:tcBorders>
              <w:top w:val="single" w:color="auto" w:sz="4" w:space="0"/>
              <w:left w:val="nil"/>
              <w:bottom w:val="single" w:color="auto" w:sz="4" w:space="0"/>
              <w:right w:val="single" w:color="auto" w:sz="4" w:space="0"/>
            </w:tcBorders>
            <w:noWrap w:val="0"/>
            <w:vAlign w:val="center"/>
          </w:tcPr>
          <w:p w14:paraId="6408CF67">
            <w:pPr>
              <w:rPr>
                <w:rFonts w:ascii="宋体" w:hAnsi="宋体" w:cs="宋体"/>
                <w:color w:val="000000"/>
                <w:sz w:val="20"/>
                <w:szCs w:val="20"/>
              </w:rPr>
            </w:pPr>
            <w:r>
              <w:rPr>
                <w:rFonts w:hint="eastAsia"/>
                <w:color w:val="000000"/>
                <w:sz w:val="20"/>
                <w:szCs w:val="20"/>
              </w:rPr>
              <w:t>经常性项目</w:t>
            </w:r>
          </w:p>
        </w:tc>
      </w:tr>
      <w:tr w14:paraId="0F2BA2C0">
        <w:tblPrEx>
          <w:tblCellMar>
            <w:top w:w="0" w:type="dxa"/>
            <w:left w:w="108" w:type="dxa"/>
            <w:bottom w:w="0" w:type="dxa"/>
            <w:right w:w="108" w:type="dxa"/>
          </w:tblCellMar>
        </w:tblPrEx>
        <w:trPr>
          <w:trHeight w:val="330" w:hRule="atLeast"/>
        </w:trPr>
        <w:tc>
          <w:tcPr>
            <w:tcW w:w="2176" w:type="dxa"/>
            <w:gridSpan w:val="3"/>
            <w:vMerge w:val="restart"/>
            <w:tcBorders>
              <w:top w:val="single" w:color="auto" w:sz="4" w:space="0"/>
              <w:left w:val="single" w:color="auto" w:sz="4" w:space="0"/>
              <w:bottom w:val="single" w:color="000000" w:sz="4" w:space="0"/>
              <w:right w:val="single" w:color="000000" w:sz="4" w:space="0"/>
            </w:tcBorders>
            <w:noWrap w:val="0"/>
            <w:vAlign w:val="center"/>
          </w:tcPr>
          <w:p w14:paraId="5EE73286">
            <w:pPr>
              <w:jc w:val="center"/>
              <w:rPr>
                <w:rFonts w:hint="eastAsia" w:eastAsia="宋体"/>
                <w:sz w:val="20"/>
                <w:szCs w:val="20"/>
                <w:lang w:eastAsia="zh-CN"/>
              </w:rPr>
            </w:pPr>
            <w:r>
              <w:rPr>
                <w:rFonts w:hint="eastAsia"/>
                <w:sz w:val="20"/>
                <w:szCs w:val="20"/>
              </w:rPr>
              <w:t>项目资金</w:t>
            </w:r>
          </w:p>
          <w:p w14:paraId="030252C8">
            <w:pPr>
              <w:jc w:val="center"/>
              <w:rPr>
                <w:rFonts w:ascii="宋体" w:hAnsi="宋体" w:cs="宋体"/>
                <w:sz w:val="20"/>
                <w:szCs w:val="20"/>
              </w:rPr>
            </w:pPr>
            <w:r>
              <w:rPr>
                <w:rFonts w:hint="eastAsia"/>
                <w:sz w:val="20"/>
                <w:szCs w:val="20"/>
              </w:rPr>
              <w:t>（万元）</w:t>
            </w:r>
          </w:p>
        </w:tc>
        <w:tc>
          <w:tcPr>
            <w:tcW w:w="1523" w:type="dxa"/>
            <w:tcBorders>
              <w:top w:val="nil"/>
              <w:left w:val="nil"/>
              <w:bottom w:val="single" w:color="auto" w:sz="4" w:space="0"/>
              <w:right w:val="single" w:color="auto" w:sz="4" w:space="0"/>
            </w:tcBorders>
            <w:noWrap w:val="0"/>
            <w:vAlign w:val="center"/>
          </w:tcPr>
          <w:p w14:paraId="5FC438B1">
            <w:pPr>
              <w:rPr>
                <w:rFonts w:ascii="宋体" w:hAnsi="宋体" w:cs="宋体"/>
                <w:sz w:val="20"/>
                <w:szCs w:val="20"/>
              </w:rPr>
            </w:pPr>
            <w:r>
              <w:rPr>
                <w:rFonts w:hint="eastAsia"/>
                <w:sz w:val="20"/>
                <w:szCs w:val="20"/>
              </w:rPr>
              <w:t>中期资金总额：</w:t>
            </w:r>
          </w:p>
        </w:tc>
        <w:tc>
          <w:tcPr>
            <w:tcW w:w="2128" w:type="dxa"/>
            <w:gridSpan w:val="2"/>
            <w:tcBorders>
              <w:top w:val="single" w:color="auto" w:sz="4" w:space="0"/>
              <w:left w:val="nil"/>
              <w:bottom w:val="single" w:color="auto" w:sz="4" w:space="0"/>
              <w:right w:val="single" w:color="auto" w:sz="4" w:space="0"/>
            </w:tcBorders>
            <w:noWrap w:val="0"/>
            <w:vAlign w:val="center"/>
          </w:tcPr>
          <w:p w14:paraId="7E4F222A">
            <w:pPr>
              <w:jc w:val="center"/>
              <w:rPr>
                <w:rFonts w:hint="default" w:ascii="宋体" w:hAnsi="宋体" w:eastAsia="宋体" w:cs="宋体"/>
                <w:sz w:val="20"/>
                <w:szCs w:val="20"/>
                <w:lang w:val="en-US" w:eastAsia="zh-CN"/>
              </w:rPr>
            </w:pPr>
            <w:r>
              <w:rPr>
                <w:rFonts w:hint="eastAsia"/>
                <w:sz w:val="20"/>
                <w:szCs w:val="20"/>
                <w:lang w:val="en-US" w:eastAsia="zh-CN"/>
              </w:rPr>
              <w:t>10.64</w:t>
            </w:r>
          </w:p>
        </w:tc>
        <w:tc>
          <w:tcPr>
            <w:tcW w:w="1817" w:type="dxa"/>
            <w:gridSpan w:val="2"/>
            <w:tcBorders>
              <w:top w:val="single" w:color="auto" w:sz="4" w:space="0"/>
              <w:left w:val="nil"/>
              <w:bottom w:val="single" w:color="auto" w:sz="4" w:space="0"/>
              <w:right w:val="single" w:color="auto" w:sz="4" w:space="0"/>
            </w:tcBorders>
            <w:noWrap w:val="0"/>
            <w:vAlign w:val="center"/>
          </w:tcPr>
          <w:p w14:paraId="20515722">
            <w:pPr>
              <w:rPr>
                <w:rFonts w:ascii="宋体" w:hAnsi="宋体" w:cs="宋体"/>
                <w:sz w:val="20"/>
                <w:szCs w:val="20"/>
              </w:rPr>
            </w:pPr>
            <w:r>
              <w:rPr>
                <w:rFonts w:hint="eastAsia"/>
                <w:sz w:val="20"/>
                <w:szCs w:val="20"/>
              </w:rPr>
              <w:t xml:space="preserve"> 年度资金总额：</w:t>
            </w:r>
          </w:p>
        </w:tc>
        <w:tc>
          <w:tcPr>
            <w:tcW w:w="1680" w:type="dxa"/>
            <w:gridSpan w:val="2"/>
            <w:tcBorders>
              <w:top w:val="single" w:color="auto" w:sz="4" w:space="0"/>
              <w:left w:val="nil"/>
              <w:bottom w:val="single" w:color="auto" w:sz="4" w:space="0"/>
              <w:right w:val="single" w:color="000000" w:sz="4" w:space="0"/>
            </w:tcBorders>
            <w:noWrap w:val="0"/>
            <w:vAlign w:val="center"/>
          </w:tcPr>
          <w:p w14:paraId="1E5EE9DE">
            <w:pPr>
              <w:jc w:val="center"/>
              <w:rPr>
                <w:rFonts w:hint="default" w:ascii="宋体" w:hAnsi="宋体" w:cs="宋体"/>
                <w:sz w:val="20"/>
                <w:szCs w:val="20"/>
                <w:lang w:val="en-US"/>
              </w:rPr>
            </w:pPr>
            <w:r>
              <w:rPr>
                <w:rFonts w:hint="eastAsia"/>
                <w:sz w:val="20"/>
                <w:szCs w:val="20"/>
                <w:lang w:val="en-US" w:eastAsia="zh-CN"/>
              </w:rPr>
              <w:t>5.5</w:t>
            </w:r>
          </w:p>
        </w:tc>
      </w:tr>
      <w:tr w14:paraId="1CF0F2B1">
        <w:tblPrEx>
          <w:tblCellMar>
            <w:top w:w="0" w:type="dxa"/>
            <w:left w:w="108" w:type="dxa"/>
            <w:bottom w:w="0" w:type="dxa"/>
            <w:right w:w="108" w:type="dxa"/>
          </w:tblCellMar>
        </w:tblPrEx>
        <w:trPr>
          <w:trHeight w:val="330" w:hRule="atLeast"/>
        </w:trPr>
        <w:tc>
          <w:tcPr>
            <w:tcW w:w="2176"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14:paraId="6B894CF7">
            <w:pPr>
              <w:rPr>
                <w:rFonts w:ascii="宋体" w:hAnsi="宋体" w:cs="宋体"/>
                <w:sz w:val="20"/>
                <w:szCs w:val="20"/>
              </w:rPr>
            </w:pPr>
          </w:p>
        </w:tc>
        <w:tc>
          <w:tcPr>
            <w:tcW w:w="1523" w:type="dxa"/>
            <w:tcBorders>
              <w:top w:val="nil"/>
              <w:left w:val="nil"/>
              <w:bottom w:val="single" w:color="auto" w:sz="4" w:space="0"/>
              <w:right w:val="single" w:color="auto" w:sz="4" w:space="0"/>
            </w:tcBorders>
            <w:noWrap w:val="0"/>
            <w:vAlign w:val="center"/>
          </w:tcPr>
          <w:p w14:paraId="7837365E">
            <w:pPr>
              <w:rPr>
                <w:rFonts w:ascii="宋体" w:hAnsi="宋体" w:cs="宋体"/>
                <w:sz w:val="20"/>
                <w:szCs w:val="20"/>
              </w:rPr>
            </w:pPr>
            <w:r>
              <w:rPr>
                <w:rFonts w:hint="eastAsia"/>
                <w:sz w:val="20"/>
                <w:szCs w:val="20"/>
              </w:rPr>
              <w:t xml:space="preserve">  其中：财政拨款</w:t>
            </w:r>
          </w:p>
        </w:tc>
        <w:tc>
          <w:tcPr>
            <w:tcW w:w="2128" w:type="dxa"/>
            <w:gridSpan w:val="2"/>
            <w:tcBorders>
              <w:top w:val="single" w:color="auto" w:sz="4" w:space="0"/>
              <w:left w:val="nil"/>
              <w:bottom w:val="single" w:color="auto" w:sz="4" w:space="0"/>
              <w:right w:val="single" w:color="auto" w:sz="4" w:space="0"/>
            </w:tcBorders>
            <w:noWrap w:val="0"/>
            <w:vAlign w:val="center"/>
          </w:tcPr>
          <w:p w14:paraId="3E18D0A8">
            <w:pPr>
              <w:jc w:val="center"/>
              <w:rPr>
                <w:rFonts w:hint="default" w:ascii="宋体" w:hAnsi="宋体" w:eastAsia="宋体" w:cs="宋体"/>
                <w:sz w:val="20"/>
                <w:szCs w:val="20"/>
                <w:lang w:val="en-US" w:eastAsia="zh-CN"/>
              </w:rPr>
            </w:pPr>
            <w:r>
              <w:rPr>
                <w:rFonts w:hint="eastAsia"/>
                <w:sz w:val="20"/>
                <w:szCs w:val="20"/>
                <w:lang w:val="en-US" w:eastAsia="zh-CN"/>
              </w:rPr>
              <w:t>10.64</w:t>
            </w:r>
          </w:p>
        </w:tc>
        <w:tc>
          <w:tcPr>
            <w:tcW w:w="1817" w:type="dxa"/>
            <w:gridSpan w:val="2"/>
            <w:tcBorders>
              <w:top w:val="single" w:color="auto" w:sz="4" w:space="0"/>
              <w:left w:val="nil"/>
              <w:bottom w:val="single" w:color="auto" w:sz="4" w:space="0"/>
              <w:right w:val="single" w:color="auto" w:sz="4" w:space="0"/>
            </w:tcBorders>
            <w:noWrap w:val="0"/>
            <w:vAlign w:val="center"/>
          </w:tcPr>
          <w:p w14:paraId="311D1B3C">
            <w:pPr>
              <w:rPr>
                <w:rFonts w:ascii="宋体" w:hAnsi="宋体" w:cs="宋体"/>
                <w:sz w:val="20"/>
                <w:szCs w:val="20"/>
              </w:rPr>
            </w:pPr>
            <w:r>
              <w:rPr>
                <w:rFonts w:hint="eastAsia"/>
                <w:sz w:val="20"/>
                <w:szCs w:val="20"/>
              </w:rPr>
              <w:t xml:space="preserve">   其中：财政拨款</w:t>
            </w:r>
          </w:p>
        </w:tc>
        <w:tc>
          <w:tcPr>
            <w:tcW w:w="1680" w:type="dxa"/>
            <w:gridSpan w:val="2"/>
            <w:tcBorders>
              <w:top w:val="single" w:color="auto" w:sz="4" w:space="0"/>
              <w:left w:val="nil"/>
              <w:bottom w:val="single" w:color="auto" w:sz="4" w:space="0"/>
              <w:right w:val="single" w:color="000000" w:sz="4" w:space="0"/>
            </w:tcBorders>
            <w:noWrap w:val="0"/>
            <w:vAlign w:val="center"/>
          </w:tcPr>
          <w:p w14:paraId="3B08FA9D">
            <w:pPr>
              <w:jc w:val="center"/>
              <w:rPr>
                <w:rFonts w:hint="default" w:ascii="宋体" w:hAnsi="宋体" w:cs="宋体"/>
                <w:sz w:val="20"/>
                <w:szCs w:val="20"/>
                <w:lang w:val="en-US"/>
              </w:rPr>
            </w:pPr>
            <w:r>
              <w:rPr>
                <w:rFonts w:hint="eastAsia"/>
                <w:sz w:val="20"/>
                <w:szCs w:val="20"/>
                <w:lang w:val="en-US" w:eastAsia="zh-CN"/>
              </w:rPr>
              <w:t>5.5</w:t>
            </w:r>
          </w:p>
        </w:tc>
      </w:tr>
      <w:tr w14:paraId="57B49F88">
        <w:tblPrEx>
          <w:tblCellMar>
            <w:top w:w="0" w:type="dxa"/>
            <w:left w:w="108" w:type="dxa"/>
            <w:bottom w:w="0" w:type="dxa"/>
            <w:right w:w="108" w:type="dxa"/>
          </w:tblCellMar>
        </w:tblPrEx>
        <w:trPr>
          <w:trHeight w:val="330" w:hRule="atLeast"/>
        </w:trPr>
        <w:tc>
          <w:tcPr>
            <w:tcW w:w="2176"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14:paraId="09702257">
            <w:pPr>
              <w:rPr>
                <w:rFonts w:ascii="宋体" w:hAnsi="宋体" w:cs="宋体"/>
                <w:sz w:val="20"/>
                <w:szCs w:val="20"/>
              </w:rPr>
            </w:pPr>
          </w:p>
        </w:tc>
        <w:tc>
          <w:tcPr>
            <w:tcW w:w="1523" w:type="dxa"/>
            <w:tcBorders>
              <w:top w:val="nil"/>
              <w:left w:val="nil"/>
              <w:bottom w:val="single" w:color="auto" w:sz="4" w:space="0"/>
              <w:right w:val="single" w:color="auto" w:sz="4" w:space="0"/>
            </w:tcBorders>
            <w:noWrap w:val="0"/>
            <w:vAlign w:val="center"/>
          </w:tcPr>
          <w:p w14:paraId="042399C6">
            <w:pPr>
              <w:rPr>
                <w:rFonts w:ascii="宋体" w:hAnsi="宋体" w:cs="宋体"/>
                <w:sz w:val="20"/>
                <w:szCs w:val="20"/>
              </w:rPr>
            </w:pPr>
            <w:r>
              <w:rPr>
                <w:rFonts w:hint="eastAsia"/>
                <w:sz w:val="20"/>
                <w:szCs w:val="20"/>
              </w:rPr>
              <w:t xml:space="preserve">     其他资金</w:t>
            </w:r>
          </w:p>
        </w:tc>
        <w:tc>
          <w:tcPr>
            <w:tcW w:w="2128" w:type="dxa"/>
            <w:gridSpan w:val="2"/>
            <w:tcBorders>
              <w:top w:val="single" w:color="auto" w:sz="4" w:space="0"/>
              <w:left w:val="nil"/>
              <w:bottom w:val="single" w:color="auto" w:sz="4" w:space="0"/>
              <w:right w:val="single" w:color="000000" w:sz="4" w:space="0"/>
            </w:tcBorders>
            <w:noWrap w:val="0"/>
            <w:vAlign w:val="center"/>
          </w:tcPr>
          <w:p w14:paraId="4195D0B4">
            <w:pPr>
              <w:jc w:val="center"/>
              <w:rPr>
                <w:rFonts w:ascii="宋体" w:hAnsi="宋体" w:cs="宋体"/>
                <w:sz w:val="20"/>
                <w:szCs w:val="20"/>
              </w:rPr>
            </w:pPr>
            <w:r>
              <w:rPr>
                <w:rFonts w:hint="eastAsia"/>
                <w:sz w:val="20"/>
                <w:szCs w:val="20"/>
              </w:rPr>
              <w:t>　</w:t>
            </w:r>
          </w:p>
        </w:tc>
        <w:tc>
          <w:tcPr>
            <w:tcW w:w="1817" w:type="dxa"/>
            <w:gridSpan w:val="2"/>
            <w:tcBorders>
              <w:top w:val="single" w:color="auto" w:sz="4" w:space="0"/>
              <w:left w:val="nil"/>
              <w:bottom w:val="single" w:color="auto" w:sz="4" w:space="0"/>
              <w:right w:val="single" w:color="auto" w:sz="4" w:space="0"/>
            </w:tcBorders>
            <w:noWrap w:val="0"/>
            <w:vAlign w:val="center"/>
          </w:tcPr>
          <w:p w14:paraId="6629D8F9">
            <w:pPr>
              <w:rPr>
                <w:rFonts w:ascii="宋体" w:hAnsi="宋体" w:cs="宋体"/>
                <w:sz w:val="20"/>
                <w:szCs w:val="20"/>
              </w:rPr>
            </w:pPr>
            <w:r>
              <w:rPr>
                <w:rFonts w:hint="eastAsia"/>
                <w:sz w:val="20"/>
                <w:szCs w:val="20"/>
              </w:rPr>
              <w:t xml:space="preserve">        其他资金</w:t>
            </w:r>
          </w:p>
        </w:tc>
        <w:tc>
          <w:tcPr>
            <w:tcW w:w="1680" w:type="dxa"/>
            <w:gridSpan w:val="2"/>
            <w:tcBorders>
              <w:top w:val="single" w:color="auto" w:sz="4" w:space="0"/>
              <w:left w:val="nil"/>
              <w:bottom w:val="single" w:color="auto" w:sz="4" w:space="0"/>
              <w:right w:val="single" w:color="000000" w:sz="4" w:space="0"/>
            </w:tcBorders>
            <w:noWrap w:val="0"/>
            <w:vAlign w:val="center"/>
          </w:tcPr>
          <w:p w14:paraId="2762739F">
            <w:pPr>
              <w:jc w:val="center"/>
              <w:rPr>
                <w:rFonts w:ascii="宋体" w:hAnsi="宋体" w:cs="宋体"/>
                <w:sz w:val="20"/>
                <w:szCs w:val="20"/>
              </w:rPr>
            </w:pPr>
            <w:r>
              <w:rPr>
                <w:rFonts w:hint="eastAsia"/>
                <w:sz w:val="20"/>
                <w:szCs w:val="20"/>
              </w:rPr>
              <w:t>　</w:t>
            </w:r>
          </w:p>
        </w:tc>
      </w:tr>
      <w:tr w14:paraId="2354BD0C">
        <w:tblPrEx>
          <w:tblCellMar>
            <w:top w:w="0" w:type="dxa"/>
            <w:left w:w="108" w:type="dxa"/>
            <w:bottom w:w="0" w:type="dxa"/>
            <w:right w:w="108" w:type="dxa"/>
          </w:tblCellMar>
        </w:tblPrEx>
        <w:trPr>
          <w:trHeight w:val="330" w:hRule="atLeast"/>
        </w:trPr>
        <w:tc>
          <w:tcPr>
            <w:tcW w:w="416" w:type="dxa"/>
            <w:vMerge w:val="restart"/>
            <w:tcBorders>
              <w:top w:val="nil"/>
              <w:left w:val="single" w:color="auto" w:sz="4" w:space="0"/>
              <w:bottom w:val="single" w:color="auto" w:sz="4" w:space="0"/>
              <w:right w:val="single" w:color="auto" w:sz="4" w:space="0"/>
            </w:tcBorders>
            <w:noWrap w:val="0"/>
            <w:vAlign w:val="center"/>
          </w:tcPr>
          <w:p w14:paraId="48DEF07B">
            <w:pPr>
              <w:jc w:val="center"/>
              <w:rPr>
                <w:rFonts w:hint="eastAsia" w:eastAsia="宋体"/>
                <w:sz w:val="20"/>
                <w:szCs w:val="20"/>
                <w:lang w:eastAsia="zh-CN"/>
              </w:rPr>
            </w:pPr>
            <w:r>
              <w:rPr>
                <w:rFonts w:hint="eastAsia"/>
                <w:sz w:val="20"/>
                <w:szCs w:val="20"/>
              </w:rPr>
              <w:t>总</w:t>
            </w:r>
          </w:p>
          <w:p w14:paraId="51B74285">
            <w:pPr>
              <w:jc w:val="center"/>
              <w:rPr>
                <w:rFonts w:hint="eastAsia" w:eastAsia="宋体"/>
                <w:sz w:val="20"/>
                <w:szCs w:val="20"/>
                <w:lang w:eastAsia="zh-CN"/>
              </w:rPr>
            </w:pPr>
            <w:r>
              <w:rPr>
                <w:rFonts w:hint="eastAsia"/>
                <w:sz w:val="20"/>
                <w:szCs w:val="20"/>
              </w:rPr>
              <w:t>体</w:t>
            </w:r>
          </w:p>
          <w:p w14:paraId="4F97889B">
            <w:pPr>
              <w:jc w:val="center"/>
              <w:rPr>
                <w:rFonts w:hint="eastAsia" w:eastAsia="宋体"/>
                <w:sz w:val="20"/>
                <w:szCs w:val="20"/>
                <w:lang w:eastAsia="zh-CN"/>
              </w:rPr>
            </w:pPr>
            <w:r>
              <w:rPr>
                <w:rFonts w:hint="eastAsia"/>
                <w:sz w:val="20"/>
                <w:szCs w:val="20"/>
              </w:rPr>
              <w:t>目</w:t>
            </w:r>
          </w:p>
          <w:p w14:paraId="2F8DCCE7">
            <w:pPr>
              <w:jc w:val="center"/>
              <w:rPr>
                <w:rFonts w:ascii="宋体" w:hAnsi="宋体" w:cs="宋体"/>
                <w:sz w:val="20"/>
                <w:szCs w:val="20"/>
              </w:rPr>
            </w:pPr>
            <w:r>
              <w:rPr>
                <w:rFonts w:hint="eastAsia"/>
                <w:sz w:val="20"/>
                <w:szCs w:val="20"/>
              </w:rPr>
              <w:t>标</w:t>
            </w:r>
          </w:p>
        </w:tc>
        <w:tc>
          <w:tcPr>
            <w:tcW w:w="5411" w:type="dxa"/>
            <w:gridSpan w:val="5"/>
            <w:tcBorders>
              <w:top w:val="single" w:color="auto" w:sz="4" w:space="0"/>
              <w:left w:val="nil"/>
              <w:bottom w:val="single" w:color="auto" w:sz="4" w:space="0"/>
              <w:right w:val="nil"/>
            </w:tcBorders>
            <w:noWrap w:val="0"/>
            <w:vAlign w:val="center"/>
          </w:tcPr>
          <w:p w14:paraId="3B587002">
            <w:pPr>
              <w:jc w:val="center"/>
              <w:rPr>
                <w:rFonts w:ascii="宋体" w:hAnsi="宋体" w:cs="宋体"/>
                <w:sz w:val="20"/>
                <w:szCs w:val="20"/>
              </w:rPr>
            </w:pPr>
            <w:r>
              <w:rPr>
                <w:rFonts w:hint="eastAsia"/>
                <w:sz w:val="20"/>
                <w:szCs w:val="20"/>
              </w:rPr>
              <w:t>中期目标（20</w:t>
            </w:r>
            <w:r>
              <w:rPr>
                <w:rFonts w:hint="eastAsia"/>
                <w:sz w:val="20"/>
                <w:szCs w:val="20"/>
                <w:lang w:val="en-US" w:eastAsia="zh-CN"/>
              </w:rPr>
              <w:t>22</w:t>
            </w:r>
            <w:r>
              <w:rPr>
                <w:rFonts w:hint="eastAsia"/>
                <w:sz w:val="20"/>
                <w:szCs w:val="20"/>
              </w:rPr>
              <w:t>年—20</w:t>
            </w:r>
            <w:r>
              <w:rPr>
                <w:rFonts w:hint="eastAsia"/>
                <w:sz w:val="20"/>
                <w:szCs w:val="20"/>
                <w:lang w:val="en-US" w:eastAsia="zh-CN"/>
              </w:rPr>
              <w:t>25</w:t>
            </w:r>
            <w:r>
              <w:rPr>
                <w:rFonts w:hint="eastAsia"/>
                <w:sz w:val="20"/>
                <w:szCs w:val="20"/>
              </w:rPr>
              <w:t>年）</w:t>
            </w:r>
          </w:p>
        </w:tc>
        <w:tc>
          <w:tcPr>
            <w:tcW w:w="3497" w:type="dxa"/>
            <w:gridSpan w:val="4"/>
            <w:tcBorders>
              <w:top w:val="single" w:color="auto" w:sz="4" w:space="0"/>
              <w:left w:val="single" w:color="auto" w:sz="4" w:space="0"/>
              <w:bottom w:val="single" w:color="auto" w:sz="4" w:space="0"/>
              <w:right w:val="single" w:color="000000" w:sz="4" w:space="0"/>
            </w:tcBorders>
            <w:noWrap w:val="0"/>
            <w:vAlign w:val="center"/>
          </w:tcPr>
          <w:p w14:paraId="0EC912A0">
            <w:pPr>
              <w:jc w:val="center"/>
              <w:rPr>
                <w:rFonts w:ascii="宋体" w:hAnsi="宋体" w:cs="宋体"/>
                <w:sz w:val="20"/>
                <w:szCs w:val="20"/>
              </w:rPr>
            </w:pPr>
            <w:r>
              <w:rPr>
                <w:rFonts w:hint="eastAsia"/>
                <w:sz w:val="20"/>
                <w:szCs w:val="20"/>
              </w:rPr>
              <w:t>年度目标</w:t>
            </w:r>
          </w:p>
        </w:tc>
      </w:tr>
      <w:tr w14:paraId="233A8036">
        <w:tblPrEx>
          <w:tblCellMar>
            <w:top w:w="0" w:type="dxa"/>
            <w:left w:w="108" w:type="dxa"/>
            <w:bottom w:w="0" w:type="dxa"/>
            <w:right w:w="108" w:type="dxa"/>
          </w:tblCellMar>
        </w:tblPrEx>
        <w:trPr>
          <w:trHeight w:val="660" w:hRule="atLeast"/>
        </w:trPr>
        <w:tc>
          <w:tcPr>
            <w:tcW w:w="416" w:type="dxa"/>
            <w:vMerge w:val="continue"/>
            <w:tcBorders>
              <w:top w:val="nil"/>
              <w:left w:val="single" w:color="auto" w:sz="4" w:space="0"/>
              <w:bottom w:val="single" w:color="auto" w:sz="4" w:space="0"/>
              <w:right w:val="single" w:color="auto" w:sz="4" w:space="0"/>
            </w:tcBorders>
            <w:noWrap w:val="0"/>
            <w:vAlign w:val="center"/>
          </w:tcPr>
          <w:p w14:paraId="5EE19FED">
            <w:pPr>
              <w:rPr>
                <w:rFonts w:ascii="宋体" w:hAnsi="宋体" w:cs="宋体"/>
                <w:sz w:val="20"/>
                <w:szCs w:val="20"/>
              </w:rPr>
            </w:pPr>
          </w:p>
        </w:tc>
        <w:tc>
          <w:tcPr>
            <w:tcW w:w="5411" w:type="dxa"/>
            <w:gridSpan w:val="5"/>
            <w:tcBorders>
              <w:top w:val="single" w:color="auto" w:sz="4" w:space="0"/>
              <w:left w:val="nil"/>
              <w:bottom w:val="single" w:color="auto" w:sz="4" w:space="0"/>
              <w:right w:val="nil"/>
            </w:tcBorders>
            <w:noWrap w:val="0"/>
            <w:vAlign w:val="top"/>
          </w:tcPr>
          <w:p w14:paraId="372508B4">
            <w:pPr>
              <w:rPr>
                <w:rFonts w:hint="eastAsia"/>
                <w:lang w:eastAsia="zh-CN"/>
              </w:rPr>
            </w:pPr>
            <w:r>
              <w:rPr>
                <w:rFonts w:hint="eastAsia"/>
                <w:sz w:val="20"/>
                <w:szCs w:val="20"/>
              </w:rPr>
              <w:t xml:space="preserve"> 根据2020年相山区公益性岗位（第二批）招聘公告， 聘用4名人员，辅助机关日常工作。</w:t>
            </w:r>
          </w:p>
        </w:tc>
        <w:tc>
          <w:tcPr>
            <w:tcW w:w="3497" w:type="dxa"/>
            <w:gridSpan w:val="4"/>
            <w:tcBorders>
              <w:top w:val="single" w:color="auto" w:sz="4" w:space="0"/>
              <w:left w:val="single" w:color="auto" w:sz="4" w:space="0"/>
              <w:bottom w:val="single" w:color="auto" w:sz="4" w:space="0"/>
              <w:right w:val="single" w:color="000000" w:sz="4" w:space="0"/>
            </w:tcBorders>
            <w:noWrap w:val="0"/>
            <w:vAlign w:val="top"/>
          </w:tcPr>
          <w:p w14:paraId="14811C02">
            <w:pPr>
              <w:pStyle w:val="2"/>
              <w:rPr>
                <w:rFonts w:hint="eastAsia"/>
                <w:lang w:eastAsia="zh-CN"/>
              </w:rPr>
            </w:pPr>
            <w:r>
              <w:rPr>
                <w:rFonts w:hint="eastAsia"/>
                <w:sz w:val="20"/>
                <w:szCs w:val="20"/>
              </w:rPr>
              <w:t xml:space="preserve">根据2020年相山区公益性岗位（第二批）招聘公告， 聘用4名人员，辅助机关日常工作。 </w:t>
            </w:r>
          </w:p>
        </w:tc>
      </w:tr>
      <w:tr w14:paraId="36AD83B5">
        <w:tblPrEx>
          <w:tblCellMar>
            <w:top w:w="0" w:type="dxa"/>
            <w:left w:w="108" w:type="dxa"/>
            <w:bottom w:w="0" w:type="dxa"/>
            <w:right w:w="108" w:type="dxa"/>
          </w:tblCellMar>
        </w:tblPrEx>
        <w:trPr>
          <w:trHeight w:val="830" w:hRule="atLeast"/>
        </w:trPr>
        <w:tc>
          <w:tcPr>
            <w:tcW w:w="416" w:type="dxa"/>
            <w:vMerge w:val="restart"/>
            <w:tcBorders>
              <w:top w:val="nil"/>
              <w:left w:val="single" w:color="auto" w:sz="4" w:space="0"/>
              <w:bottom w:val="single" w:color="000000" w:sz="4" w:space="0"/>
              <w:right w:val="single" w:color="auto" w:sz="4" w:space="0"/>
            </w:tcBorders>
            <w:noWrap w:val="0"/>
            <w:vAlign w:val="center"/>
          </w:tcPr>
          <w:p w14:paraId="684AAF9B">
            <w:pPr>
              <w:jc w:val="center"/>
              <w:rPr>
                <w:rFonts w:hint="eastAsia" w:eastAsia="宋体"/>
                <w:sz w:val="20"/>
                <w:szCs w:val="20"/>
                <w:lang w:eastAsia="zh-CN"/>
              </w:rPr>
            </w:pPr>
            <w:r>
              <w:rPr>
                <w:rFonts w:hint="eastAsia"/>
                <w:sz w:val="20"/>
                <w:szCs w:val="20"/>
              </w:rPr>
              <w:t>绩</w:t>
            </w:r>
          </w:p>
          <w:p w14:paraId="6464A326">
            <w:pPr>
              <w:jc w:val="center"/>
              <w:rPr>
                <w:rFonts w:hint="eastAsia" w:eastAsia="宋体"/>
                <w:sz w:val="20"/>
                <w:szCs w:val="20"/>
                <w:lang w:eastAsia="zh-CN"/>
              </w:rPr>
            </w:pPr>
            <w:r>
              <w:rPr>
                <w:rFonts w:hint="eastAsia"/>
                <w:sz w:val="20"/>
                <w:szCs w:val="20"/>
              </w:rPr>
              <w:t>效</w:t>
            </w:r>
          </w:p>
          <w:p w14:paraId="512F8006">
            <w:pPr>
              <w:jc w:val="center"/>
              <w:rPr>
                <w:rFonts w:hint="eastAsia" w:eastAsia="宋体"/>
                <w:sz w:val="20"/>
                <w:szCs w:val="20"/>
                <w:lang w:eastAsia="zh-CN"/>
              </w:rPr>
            </w:pPr>
            <w:r>
              <w:rPr>
                <w:rFonts w:hint="eastAsia"/>
                <w:sz w:val="20"/>
                <w:szCs w:val="20"/>
              </w:rPr>
              <w:t>指</w:t>
            </w:r>
          </w:p>
          <w:p w14:paraId="0A1371AC">
            <w:pPr>
              <w:jc w:val="center"/>
              <w:rPr>
                <w:rFonts w:ascii="宋体" w:hAnsi="宋体" w:cs="宋体"/>
                <w:sz w:val="20"/>
                <w:szCs w:val="20"/>
              </w:rPr>
            </w:pPr>
            <w:r>
              <w:rPr>
                <w:rFonts w:hint="eastAsia"/>
                <w:sz w:val="20"/>
                <w:szCs w:val="20"/>
              </w:rPr>
              <w:t>标</w:t>
            </w:r>
          </w:p>
        </w:tc>
        <w:tc>
          <w:tcPr>
            <w:tcW w:w="820" w:type="dxa"/>
            <w:tcBorders>
              <w:top w:val="nil"/>
              <w:left w:val="nil"/>
              <w:bottom w:val="nil"/>
              <w:right w:val="single" w:color="auto" w:sz="4" w:space="0"/>
            </w:tcBorders>
            <w:noWrap w:val="0"/>
            <w:vAlign w:val="center"/>
          </w:tcPr>
          <w:p w14:paraId="0018759C">
            <w:pPr>
              <w:jc w:val="center"/>
              <w:rPr>
                <w:rFonts w:hint="eastAsia" w:eastAsia="宋体"/>
                <w:sz w:val="20"/>
                <w:szCs w:val="20"/>
                <w:lang w:eastAsia="zh-CN"/>
              </w:rPr>
            </w:pPr>
            <w:r>
              <w:rPr>
                <w:rFonts w:hint="eastAsia"/>
                <w:sz w:val="20"/>
                <w:szCs w:val="20"/>
              </w:rPr>
              <w:t>一级</w:t>
            </w:r>
          </w:p>
          <w:p w14:paraId="74BD9817">
            <w:pPr>
              <w:jc w:val="center"/>
              <w:rPr>
                <w:rFonts w:ascii="宋体" w:hAnsi="宋体" w:cs="宋体"/>
                <w:sz w:val="20"/>
                <w:szCs w:val="20"/>
              </w:rPr>
            </w:pPr>
            <w:r>
              <w:rPr>
                <w:rFonts w:hint="eastAsia"/>
                <w:sz w:val="20"/>
                <w:szCs w:val="20"/>
              </w:rPr>
              <w:t>指标</w:t>
            </w:r>
          </w:p>
        </w:tc>
        <w:tc>
          <w:tcPr>
            <w:tcW w:w="940" w:type="dxa"/>
            <w:tcBorders>
              <w:top w:val="nil"/>
              <w:left w:val="nil"/>
              <w:bottom w:val="single" w:color="auto" w:sz="4" w:space="0"/>
              <w:right w:val="single" w:color="auto" w:sz="4" w:space="0"/>
            </w:tcBorders>
            <w:noWrap w:val="0"/>
            <w:vAlign w:val="center"/>
          </w:tcPr>
          <w:p w14:paraId="727234F8">
            <w:pPr>
              <w:jc w:val="center"/>
              <w:rPr>
                <w:sz w:val="20"/>
                <w:szCs w:val="20"/>
              </w:rPr>
            </w:pPr>
            <w:r>
              <w:rPr>
                <w:rFonts w:hint="eastAsia"/>
                <w:sz w:val="20"/>
                <w:szCs w:val="20"/>
              </w:rPr>
              <w:t>二级</w:t>
            </w:r>
          </w:p>
          <w:p w14:paraId="53568BEE">
            <w:pPr>
              <w:jc w:val="center"/>
              <w:rPr>
                <w:rFonts w:ascii="宋体" w:hAnsi="宋体" w:cs="宋体"/>
                <w:sz w:val="20"/>
                <w:szCs w:val="20"/>
              </w:rPr>
            </w:pPr>
            <w:r>
              <w:rPr>
                <w:rFonts w:hint="eastAsia"/>
                <w:sz w:val="20"/>
                <w:szCs w:val="20"/>
              </w:rPr>
              <w:t>指标</w:t>
            </w:r>
          </w:p>
        </w:tc>
        <w:tc>
          <w:tcPr>
            <w:tcW w:w="1523" w:type="dxa"/>
            <w:tcBorders>
              <w:top w:val="nil"/>
              <w:left w:val="nil"/>
              <w:bottom w:val="single" w:color="auto" w:sz="4" w:space="0"/>
              <w:right w:val="single" w:color="auto" w:sz="4" w:space="0"/>
            </w:tcBorders>
            <w:noWrap w:val="0"/>
            <w:vAlign w:val="center"/>
          </w:tcPr>
          <w:p w14:paraId="5796C087">
            <w:pPr>
              <w:jc w:val="center"/>
              <w:rPr>
                <w:rFonts w:ascii="宋体" w:hAnsi="宋体" w:cs="宋体"/>
                <w:sz w:val="20"/>
                <w:szCs w:val="20"/>
              </w:rPr>
            </w:pPr>
            <w:r>
              <w:rPr>
                <w:rFonts w:hint="eastAsia"/>
                <w:sz w:val="20"/>
                <w:szCs w:val="20"/>
              </w:rPr>
              <w:t>三级指标</w:t>
            </w:r>
          </w:p>
        </w:tc>
        <w:tc>
          <w:tcPr>
            <w:tcW w:w="1200" w:type="dxa"/>
            <w:tcBorders>
              <w:top w:val="nil"/>
              <w:left w:val="nil"/>
              <w:bottom w:val="single" w:color="auto" w:sz="4" w:space="0"/>
              <w:right w:val="single" w:color="auto" w:sz="4" w:space="0"/>
            </w:tcBorders>
            <w:noWrap w:val="0"/>
            <w:vAlign w:val="center"/>
          </w:tcPr>
          <w:p w14:paraId="07DAF072">
            <w:pPr>
              <w:jc w:val="center"/>
              <w:rPr>
                <w:rFonts w:ascii="宋体" w:hAnsi="宋体" w:cs="宋体"/>
                <w:sz w:val="20"/>
                <w:szCs w:val="20"/>
              </w:rPr>
            </w:pPr>
            <w:r>
              <w:rPr>
                <w:rFonts w:hint="eastAsia"/>
                <w:sz w:val="20"/>
                <w:szCs w:val="20"/>
              </w:rPr>
              <w:t>指标值</w:t>
            </w:r>
          </w:p>
        </w:tc>
        <w:tc>
          <w:tcPr>
            <w:tcW w:w="928" w:type="dxa"/>
            <w:tcBorders>
              <w:top w:val="nil"/>
              <w:left w:val="nil"/>
              <w:bottom w:val="single" w:color="auto" w:sz="4" w:space="0"/>
              <w:right w:val="single" w:color="auto" w:sz="4" w:space="0"/>
            </w:tcBorders>
            <w:noWrap w:val="0"/>
            <w:vAlign w:val="center"/>
          </w:tcPr>
          <w:p w14:paraId="4429A518">
            <w:pPr>
              <w:jc w:val="center"/>
              <w:rPr>
                <w:rFonts w:ascii="宋体" w:hAnsi="宋体" w:cs="宋体"/>
                <w:sz w:val="20"/>
                <w:szCs w:val="20"/>
              </w:rPr>
            </w:pPr>
            <w:r>
              <w:rPr>
                <w:rFonts w:hint="eastAsia"/>
                <w:sz w:val="20"/>
                <w:szCs w:val="20"/>
              </w:rPr>
              <w:t>绩效标准</w:t>
            </w:r>
          </w:p>
        </w:tc>
        <w:tc>
          <w:tcPr>
            <w:tcW w:w="677" w:type="dxa"/>
            <w:tcBorders>
              <w:top w:val="nil"/>
              <w:left w:val="nil"/>
              <w:bottom w:val="single" w:color="auto" w:sz="4" w:space="0"/>
              <w:right w:val="single" w:color="auto" w:sz="4" w:space="0"/>
            </w:tcBorders>
            <w:noWrap w:val="0"/>
            <w:vAlign w:val="center"/>
          </w:tcPr>
          <w:p w14:paraId="05588190">
            <w:pPr>
              <w:jc w:val="center"/>
              <w:rPr>
                <w:sz w:val="20"/>
                <w:szCs w:val="20"/>
              </w:rPr>
            </w:pPr>
            <w:r>
              <w:rPr>
                <w:rFonts w:hint="eastAsia"/>
                <w:sz w:val="20"/>
                <w:szCs w:val="20"/>
              </w:rPr>
              <w:t>二级</w:t>
            </w:r>
          </w:p>
          <w:p w14:paraId="611CF52B">
            <w:pPr>
              <w:jc w:val="center"/>
              <w:rPr>
                <w:rFonts w:ascii="宋体" w:hAnsi="宋体" w:cs="宋体"/>
                <w:sz w:val="20"/>
                <w:szCs w:val="20"/>
              </w:rPr>
            </w:pPr>
            <w:r>
              <w:rPr>
                <w:rFonts w:hint="eastAsia"/>
                <w:sz w:val="20"/>
                <w:szCs w:val="20"/>
              </w:rPr>
              <w:t>指标</w:t>
            </w:r>
          </w:p>
        </w:tc>
        <w:tc>
          <w:tcPr>
            <w:tcW w:w="1140" w:type="dxa"/>
            <w:tcBorders>
              <w:top w:val="nil"/>
              <w:left w:val="nil"/>
              <w:bottom w:val="single" w:color="auto" w:sz="4" w:space="0"/>
              <w:right w:val="nil"/>
            </w:tcBorders>
            <w:noWrap w:val="0"/>
            <w:vAlign w:val="center"/>
          </w:tcPr>
          <w:p w14:paraId="36ACA06A">
            <w:pPr>
              <w:jc w:val="center"/>
              <w:rPr>
                <w:rFonts w:ascii="宋体" w:hAnsi="宋体" w:cs="宋体"/>
                <w:sz w:val="20"/>
                <w:szCs w:val="20"/>
              </w:rPr>
            </w:pPr>
            <w:r>
              <w:rPr>
                <w:rFonts w:hint="eastAsia"/>
                <w:sz w:val="20"/>
                <w:szCs w:val="20"/>
              </w:rPr>
              <w:t>三级指标</w:t>
            </w:r>
          </w:p>
        </w:tc>
        <w:tc>
          <w:tcPr>
            <w:tcW w:w="840" w:type="dxa"/>
            <w:tcBorders>
              <w:top w:val="nil"/>
              <w:left w:val="single" w:color="auto" w:sz="4" w:space="0"/>
              <w:bottom w:val="single" w:color="auto" w:sz="4" w:space="0"/>
              <w:right w:val="single" w:color="auto" w:sz="4" w:space="0"/>
            </w:tcBorders>
            <w:noWrap w:val="0"/>
            <w:vAlign w:val="center"/>
          </w:tcPr>
          <w:p w14:paraId="4E6A991F">
            <w:pPr>
              <w:jc w:val="center"/>
              <w:rPr>
                <w:rFonts w:ascii="宋体" w:hAnsi="宋体" w:cs="宋体"/>
                <w:sz w:val="20"/>
                <w:szCs w:val="20"/>
              </w:rPr>
            </w:pPr>
            <w:r>
              <w:rPr>
                <w:rFonts w:hint="eastAsia"/>
                <w:sz w:val="20"/>
                <w:szCs w:val="20"/>
              </w:rPr>
              <w:t>指标值</w:t>
            </w:r>
          </w:p>
        </w:tc>
        <w:tc>
          <w:tcPr>
            <w:tcW w:w="840" w:type="dxa"/>
            <w:tcBorders>
              <w:top w:val="nil"/>
              <w:left w:val="nil"/>
              <w:bottom w:val="single" w:color="auto" w:sz="4" w:space="0"/>
              <w:right w:val="single" w:color="auto" w:sz="4" w:space="0"/>
            </w:tcBorders>
            <w:noWrap w:val="0"/>
            <w:vAlign w:val="center"/>
          </w:tcPr>
          <w:p w14:paraId="3C4A5015">
            <w:pPr>
              <w:jc w:val="center"/>
              <w:rPr>
                <w:rFonts w:ascii="宋体" w:hAnsi="宋体" w:cs="宋体"/>
                <w:sz w:val="20"/>
                <w:szCs w:val="20"/>
              </w:rPr>
            </w:pPr>
            <w:r>
              <w:rPr>
                <w:rFonts w:hint="eastAsia"/>
                <w:sz w:val="20"/>
                <w:szCs w:val="20"/>
              </w:rPr>
              <w:t>绩效标准</w:t>
            </w:r>
          </w:p>
        </w:tc>
      </w:tr>
      <w:tr w14:paraId="253F372A">
        <w:tblPrEx>
          <w:tblCellMar>
            <w:top w:w="0" w:type="dxa"/>
            <w:left w:w="108" w:type="dxa"/>
            <w:bottom w:w="0" w:type="dxa"/>
            <w:right w:w="108" w:type="dxa"/>
          </w:tblCellMar>
        </w:tblPrEx>
        <w:trPr>
          <w:trHeight w:val="1347"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6BAB9C53">
            <w:pPr>
              <w:rPr>
                <w:rFonts w:ascii="宋体" w:hAnsi="宋体" w:cs="宋体"/>
                <w:sz w:val="20"/>
                <w:szCs w:val="20"/>
              </w:rPr>
            </w:pPr>
          </w:p>
        </w:tc>
        <w:tc>
          <w:tcPr>
            <w:tcW w:w="820" w:type="dxa"/>
            <w:vMerge w:val="restart"/>
            <w:tcBorders>
              <w:top w:val="single" w:color="auto" w:sz="4" w:space="0"/>
              <w:left w:val="single" w:color="auto" w:sz="4" w:space="0"/>
              <w:bottom w:val="single" w:color="auto" w:sz="4" w:space="0"/>
              <w:right w:val="single" w:color="auto" w:sz="4" w:space="0"/>
            </w:tcBorders>
            <w:noWrap w:val="0"/>
            <w:vAlign w:val="center"/>
          </w:tcPr>
          <w:p w14:paraId="3FA19E34">
            <w:pPr>
              <w:jc w:val="center"/>
              <w:rPr>
                <w:rFonts w:hint="eastAsia" w:eastAsia="宋体"/>
                <w:sz w:val="20"/>
                <w:szCs w:val="20"/>
                <w:lang w:eastAsia="zh-CN"/>
              </w:rPr>
            </w:pPr>
            <w:r>
              <w:rPr>
                <w:rFonts w:hint="eastAsia"/>
                <w:sz w:val="20"/>
                <w:szCs w:val="20"/>
              </w:rPr>
              <w:t>产</w:t>
            </w:r>
          </w:p>
          <w:p w14:paraId="57DBCE6E">
            <w:pPr>
              <w:jc w:val="center"/>
              <w:rPr>
                <w:rFonts w:hint="eastAsia" w:eastAsia="宋体"/>
                <w:sz w:val="20"/>
                <w:szCs w:val="20"/>
                <w:lang w:eastAsia="zh-CN"/>
              </w:rPr>
            </w:pPr>
            <w:r>
              <w:rPr>
                <w:rFonts w:hint="eastAsia"/>
                <w:sz w:val="20"/>
                <w:szCs w:val="20"/>
              </w:rPr>
              <w:t>出</w:t>
            </w:r>
          </w:p>
          <w:p w14:paraId="510ECA39">
            <w:pPr>
              <w:jc w:val="center"/>
              <w:rPr>
                <w:rFonts w:hint="eastAsia" w:eastAsia="宋体"/>
                <w:sz w:val="20"/>
                <w:szCs w:val="20"/>
                <w:lang w:eastAsia="zh-CN"/>
              </w:rPr>
            </w:pPr>
            <w:r>
              <w:rPr>
                <w:rFonts w:hint="eastAsia"/>
                <w:sz w:val="20"/>
                <w:szCs w:val="20"/>
              </w:rPr>
              <w:t>指</w:t>
            </w:r>
          </w:p>
          <w:p w14:paraId="38A9D538">
            <w:pPr>
              <w:jc w:val="center"/>
              <w:rPr>
                <w:rFonts w:ascii="宋体" w:hAnsi="宋体" w:cs="宋体"/>
                <w:sz w:val="20"/>
                <w:szCs w:val="20"/>
              </w:rPr>
            </w:pPr>
            <w:r>
              <w:rPr>
                <w:rFonts w:hint="eastAsia"/>
                <w:sz w:val="20"/>
                <w:szCs w:val="20"/>
              </w:rPr>
              <w:t>标</w:t>
            </w:r>
          </w:p>
        </w:tc>
        <w:tc>
          <w:tcPr>
            <w:tcW w:w="940" w:type="dxa"/>
            <w:tcBorders>
              <w:top w:val="nil"/>
              <w:left w:val="single" w:color="auto" w:sz="4" w:space="0"/>
              <w:bottom w:val="single" w:color="auto" w:sz="4" w:space="0"/>
              <w:right w:val="single" w:color="auto" w:sz="4" w:space="0"/>
            </w:tcBorders>
            <w:noWrap w:val="0"/>
            <w:vAlign w:val="center"/>
          </w:tcPr>
          <w:p w14:paraId="363EFA56">
            <w:pPr>
              <w:jc w:val="center"/>
              <w:rPr>
                <w:sz w:val="20"/>
                <w:szCs w:val="20"/>
              </w:rPr>
            </w:pPr>
            <w:r>
              <w:rPr>
                <w:rFonts w:hint="eastAsia"/>
                <w:sz w:val="20"/>
                <w:szCs w:val="20"/>
              </w:rPr>
              <w:t>数量</w:t>
            </w:r>
          </w:p>
          <w:p w14:paraId="31133B3A">
            <w:pPr>
              <w:jc w:val="center"/>
              <w:rPr>
                <w:rFonts w:ascii="宋体" w:hAnsi="宋体" w:cs="宋体"/>
                <w:sz w:val="20"/>
                <w:szCs w:val="20"/>
              </w:rPr>
            </w:pPr>
            <w:r>
              <w:rPr>
                <w:rFonts w:hint="eastAsia"/>
                <w:sz w:val="20"/>
                <w:szCs w:val="20"/>
              </w:rPr>
              <w:t>指标</w:t>
            </w:r>
          </w:p>
        </w:tc>
        <w:tc>
          <w:tcPr>
            <w:tcW w:w="1523" w:type="dxa"/>
            <w:tcBorders>
              <w:top w:val="nil"/>
              <w:left w:val="nil"/>
              <w:bottom w:val="single" w:color="auto" w:sz="4" w:space="0"/>
              <w:right w:val="single" w:color="auto" w:sz="4" w:space="0"/>
            </w:tcBorders>
            <w:noWrap w:val="0"/>
            <w:vAlign w:val="center"/>
          </w:tcPr>
          <w:p w14:paraId="7322CA1E">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聘用1名人员，辅助机关日常工作</w:t>
            </w:r>
          </w:p>
        </w:tc>
        <w:tc>
          <w:tcPr>
            <w:tcW w:w="1200" w:type="dxa"/>
            <w:tcBorders>
              <w:top w:val="nil"/>
              <w:left w:val="nil"/>
              <w:bottom w:val="single" w:color="auto" w:sz="4" w:space="0"/>
              <w:right w:val="single" w:color="auto" w:sz="4" w:space="0"/>
            </w:tcBorders>
            <w:noWrap w:val="0"/>
            <w:vAlign w:val="center"/>
          </w:tcPr>
          <w:p w14:paraId="1B4EAD0E">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1人</w:t>
            </w:r>
          </w:p>
        </w:tc>
        <w:tc>
          <w:tcPr>
            <w:tcW w:w="928" w:type="dxa"/>
            <w:tcBorders>
              <w:top w:val="nil"/>
              <w:left w:val="nil"/>
              <w:bottom w:val="single" w:color="auto" w:sz="4" w:space="0"/>
              <w:right w:val="single" w:color="auto" w:sz="4" w:space="0"/>
            </w:tcBorders>
            <w:noWrap w:val="0"/>
            <w:vAlign w:val="center"/>
          </w:tcPr>
          <w:p w14:paraId="3044E504">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1人</w:t>
            </w:r>
          </w:p>
        </w:tc>
        <w:tc>
          <w:tcPr>
            <w:tcW w:w="677" w:type="dxa"/>
            <w:tcBorders>
              <w:top w:val="nil"/>
              <w:left w:val="single" w:color="auto" w:sz="4" w:space="0"/>
              <w:bottom w:val="single" w:color="000000" w:sz="4" w:space="0"/>
              <w:right w:val="single" w:color="auto" w:sz="4" w:space="0"/>
            </w:tcBorders>
            <w:noWrap w:val="0"/>
            <w:vAlign w:val="center"/>
          </w:tcPr>
          <w:p w14:paraId="71A3A2DF">
            <w:pPr>
              <w:jc w:val="center"/>
              <w:rPr>
                <w:sz w:val="20"/>
                <w:szCs w:val="20"/>
              </w:rPr>
            </w:pPr>
            <w:r>
              <w:rPr>
                <w:rFonts w:hint="eastAsia"/>
                <w:sz w:val="20"/>
                <w:szCs w:val="20"/>
              </w:rPr>
              <w:t>数量</w:t>
            </w:r>
          </w:p>
          <w:p w14:paraId="79BE66A0">
            <w:pPr>
              <w:jc w:val="center"/>
              <w:rPr>
                <w:rFonts w:ascii="宋体" w:hAnsi="宋体" w:cs="宋体"/>
                <w:sz w:val="20"/>
                <w:szCs w:val="20"/>
              </w:rPr>
            </w:pPr>
            <w:r>
              <w:rPr>
                <w:rFonts w:hint="eastAsia"/>
                <w:sz w:val="20"/>
                <w:szCs w:val="20"/>
              </w:rPr>
              <w:t>指标</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607C2ACD">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聘用4名人员，辅助机关日常工作</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5FD2B5AF">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1人</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3877A777">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1人</w:t>
            </w:r>
          </w:p>
        </w:tc>
      </w:tr>
      <w:tr w14:paraId="7099D63E">
        <w:tblPrEx>
          <w:tblCellMar>
            <w:top w:w="0" w:type="dxa"/>
            <w:left w:w="108" w:type="dxa"/>
            <w:bottom w:w="0" w:type="dxa"/>
            <w:right w:w="108" w:type="dxa"/>
          </w:tblCellMar>
        </w:tblPrEx>
        <w:trPr>
          <w:trHeight w:val="1245"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6AC7EE27">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noWrap w:val="0"/>
            <w:vAlign w:val="center"/>
          </w:tcPr>
          <w:p w14:paraId="6A986797">
            <w:pPr>
              <w:rPr>
                <w:rFonts w:ascii="宋体" w:hAnsi="宋体" w:cs="宋体"/>
                <w:sz w:val="20"/>
                <w:szCs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1DAD9711">
            <w:pPr>
              <w:jc w:val="center"/>
              <w:rPr>
                <w:sz w:val="20"/>
                <w:szCs w:val="20"/>
              </w:rPr>
            </w:pPr>
            <w:r>
              <w:rPr>
                <w:rFonts w:hint="eastAsia"/>
                <w:sz w:val="20"/>
                <w:szCs w:val="20"/>
              </w:rPr>
              <w:t>质量</w:t>
            </w:r>
          </w:p>
          <w:p w14:paraId="79253D22">
            <w:pPr>
              <w:jc w:val="center"/>
              <w:rPr>
                <w:rFonts w:ascii="宋体" w:hAnsi="宋体" w:cs="宋体"/>
                <w:sz w:val="20"/>
                <w:szCs w:val="20"/>
              </w:rPr>
            </w:pPr>
            <w:r>
              <w:rPr>
                <w:rFonts w:hint="eastAsia"/>
                <w:sz w:val="20"/>
                <w:szCs w:val="20"/>
              </w:rPr>
              <w:t>指标</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5E96E28F">
            <w:pPr>
              <w:keepNext w:val="0"/>
              <w:keepLines w:val="0"/>
              <w:widowControl/>
              <w:suppressLineNumbers w:val="0"/>
              <w:jc w:val="center"/>
              <w:textAlignment w:val="center"/>
              <w:rPr>
                <w:rFonts w:hint="default" w:ascii="宋体" w:hAnsi="宋体" w:cs="宋体"/>
                <w:sz w:val="20"/>
                <w:szCs w:val="20"/>
                <w:lang w:val="en-US"/>
              </w:rPr>
            </w:pPr>
            <w:r>
              <w:rPr>
                <w:rFonts w:hint="eastAsia" w:ascii="宋体" w:hAnsi="宋体" w:eastAsia="宋体" w:cs="宋体"/>
                <w:i w:val="0"/>
                <w:iCs w:val="0"/>
                <w:color w:val="000000"/>
                <w:kern w:val="0"/>
                <w:sz w:val="20"/>
                <w:szCs w:val="20"/>
                <w:u w:val="none"/>
                <w:lang w:val="en-US" w:eastAsia="zh-CN" w:bidi="ar"/>
              </w:rPr>
              <w:t>保质保量完成辅助机关日常工作</w:t>
            </w:r>
          </w:p>
        </w:tc>
        <w:tc>
          <w:tcPr>
            <w:tcW w:w="1200" w:type="dxa"/>
            <w:tcBorders>
              <w:top w:val="single" w:color="auto" w:sz="4" w:space="0"/>
              <w:left w:val="nil"/>
              <w:bottom w:val="nil"/>
              <w:right w:val="single" w:color="auto" w:sz="4" w:space="0"/>
            </w:tcBorders>
            <w:noWrap w:val="0"/>
            <w:vAlign w:val="center"/>
          </w:tcPr>
          <w:p w14:paraId="4192228B">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保质保量完成</w:t>
            </w:r>
          </w:p>
        </w:tc>
        <w:tc>
          <w:tcPr>
            <w:tcW w:w="928" w:type="dxa"/>
            <w:tcBorders>
              <w:top w:val="single" w:color="auto" w:sz="4" w:space="0"/>
              <w:left w:val="nil"/>
              <w:bottom w:val="nil"/>
              <w:right w:val="single" w:color="auto" w:sz="4" w:space="0"/>
            </w:tcBorders>
            <w:noWrap w:val="0"/>
            <w:vAlign w:val="center"/>
          </w:tcPr>
          <w:p w14:paraId="4C02AC7A">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保质保量完成</w:t>
            </w:r>
          </w:p>
        </w:tc>
        <w:tc>
          <w:tcPr>
            <w:tcW w:w="677" w:type="dxa"/>
            <w:tcBorders>
              <w:top w:val="nil"/>
              <w:left w:val="single" w:color="auto" w:sz="4" w:space="0"/>
              <w:bottom w:val="single" w:color="000000" w:sz="4" w:space="0"/>
              <w:right w:val="single" w:color="auto" w:sz="4" w:space="0"/>
            </w:tcBorders>
            <w:noWrap w:val="0"/>
            <w:vAlign w:val="center"/>
          </w:tcPr>
          <w:p w14:paraId="330D56B0">
            <w:pPr>
              <w:jc w:val="center"/>
              <w:rPr>
                <w:sz w:val="20"/>
                <w:szCs w:val="20"/>
              </w:rPr>
            </w:pPr>
            <w:r>
              <w:rPr>
                <w:rFonts w:hint="eastAsia"/>
                <w:sz w:val="20"/>
                <w:szCs w:val="20"/>
              </w:rPr>
              <w:t>质量</w:t>
            </w:r>
          </w:p>
          <w:p w14:paraId="64D8431F">
            <w:pPr>
              <w:jc w:val="center"/>
              <w:rPr>
                <w:rFonts w:ascii="宋体" w:hAnsi="宋体" w:cs="宋体"/>
                <w:sz w:val="20"/>
                <w:szCs w:val="20"/>
              </w:rPr>
            </w:pPr>
            <w:r>
              <w:rPr>
                <w:rFonts w:hint="eastAsia"/>
                <w:sz w:val="20"/>
                <w:szCs w:val="20"/>
              </w:rPr>
              <w:t>指标</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139CBCF">
            <w:pPr>
              <w:keepNext w:val="0"/>
              <w:keepLines w:val="0"/>
              <w:widowControl/>
              <w:suppressLineNumbers w:val="0"/>
              <w:jc w:val="center"/>
              <w:textAlignment w:val="center"/>
              <w:rPr>
                <w:rFonts w:hint="default"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保质保量完成辅助机关日常工作</w:t>
            </w:r>
          </w:p>
        </w:tc>
        <w:tc>
          <w:tcPr>
            <w:tcW w:w="840" w:type="dxa"/>
            <w:tcBorders>
              <w:top w:val="single" w:color="auto" w:sz="4" w:space="0"/>
              <w:left w:val="nil"/>
              <w:bottom w:val="single" w:color="auto" w:sz="4" w:space="0"/>
              <w:right w:val="single" w:color="auto" w:sz="4" w:space="0"/>
            </w:tcBorders>
            <w:noWrap w:val="0"/>
            <w:vAlign w:val="center"/>
          </w:tcPr>
          <w:p w14:paraId="2B5F4B22">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保质保量完成</w:t>
            </w:r>
          </w:p>
        </w:tc>
        <w:tc>
          <w:tcPr>
            <w:tcW w:w="840" w:type="dxa"/>
            <w:tcBorders>
              <w:top w:val="single" w:color="auto" w:sz="4" w:space="0"/>
              <w:left w:val="nil"/>
              <w:bottom w:val="single" w:color="auto" w:sz="4" w:space="0"/>
              <w:right w:val="single" w:color="auto" w:sz="4" w:space="0"/>
            </w:tcBorders>
            <w:noWrap w:val="0"/>
            <w:vAlign w:val="center"/>
          </w:tcPr>
          <w:p w14:paraId="033943F4">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保质保量完成</w:t>
            </w:r>
          </w:p>
        </w:tc>
      </w:tr>
      <w:tr w14:paraId="3AB7D064">
        <w:tblPrEx>
          <w:tblCellMar>
            <w:top w:w="0" w:type="dxa"/>
            <w:left w:w="108" w:type="dxa"/>
            <w:bottom w:w="0" w:type="dxa"/>
            <w:right w:w="108" w:type="dxa"/>
          </w:tblCellMar>
        </w:tblPrEx>
        <w:trPr>
          <w:trHeight w:val="2121"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61295321">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noWrap w:val="0"/>
            <w:vAlign w:val="center"/>
          </w:tcPr>
          <w:p w14:paraId="28E775A0">
            <w:pPr>
              <w:rPr>
                <w:rFonts w:ascii="宋体" w:hAnsi="宋体" w:cs="宋体"/>
                <w:sz w:val="20"/>
                <w:szCs w:val="20"/>
              </w:rPr>
            </w:pPr>
          </w:p>
        </w:tc>
        <w:tc>
          <w:tcPr>
            <w:tcW w:w="940" w:type="dxa"/>
            <w:tcBorders>
              <w:top w:val="single" w:color="auto" w:sz="4" w:space="0"/>
              <w:left w:val="single" w:color="auto" w:sz="4" w:space="0"/>
              <w:bottom w:val="nil"/>
              <w:right w:val="single" w:color="auto" w:sz="4" w:space="0"/>
            </w:tcBorders>
            <w:noWrap w:val="0"/>
            <w:vAlign w:val="center"/>
          </w:tcPr>
          <w:p w14:paraId="7BC04173">
            <w:pPr>
              <w:jc w:val="center"/>
              <w:rPr>
                <w:sz w:val="20"/>
                <w:szCs w:val="20"/>
              </w:rPr>
            </w:pPr>
            <w:r>
              <w:rPr>
                <w:rFonts w:hint="eastAsia"/>
                <w:sz w:val="20"/>
                <w:szCs w:val="20"/>
              </w:rPr>
              <w:t>时效</w:t>
            </w:r>
          </w:p>
          <w:p w14:paraId="62FF115C">
            <w:pPr>
              <w:jc w:val="center"/>
              <w:rPr>
                <w:rFonts w:ascii="宋体" w:hAnsi="宋体" w:cs="宋体"/>
                <w:sz w:val="20"/>
                <w:szCs w:val="20"/>
              </w:rPr>
            </w:pPr>
            <w:r>
              <w:rPr>
                <w:rFonts w:hint="eastAsia"/>
                <w:sz w:val="20"/>
                <w:szCs w:val="20"/>
              </w:rPr>
              <w:t>指标</w:t>
            </w:r>
          </w:p>
        </w:tc>
        <w:tc>
          <w:tcPr>
            <w:tcW w:w="1523" w:type="dxa"/>
            <w:tcBorders>
              <w:top w:val="single" w:color="auto" w:sz="4" w:space="0"/>
              <w:left w:val="nil"/>
              <w:bottom w:val="nil"/>
              <w:right w:val="single" w:color="auto" w:sz="4" w:space="0"/>
            </w:tcBorders>
            <w:noWrap w:val="0"/>
            <w:vAlign w:val="center"/>
          </w:tcPr>
          <w:p w14:paraId="01F609E6">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按照年度预算安排，资金拨付到位</w:t>
            </w:r>
          </w:p>
        </w:tc>
        <w:tc>
          <w:tcPr>
            <w:tcW w:w="1200" w:type="dxa"/>
            <w:tcBorders>
              <w:top w:val="single" w:color="auto" w:sz="4" w:space="0"/>
              <w:left w:val="nil"/>
              <w:bottom w:val="nil"/>
              <w:right w:val="single" w:color="auto" w:sz="4" w:space="0"/>
            </w:tcBorders>
            <w:noWrap w:val="0"/>
            <w:vAlign w:val="center"/>
          </w:tcPr>
          <w:p w14:paraId="1142FBBC">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928" w:type="dxa"/>
            <w:tcBorders>
              <w:top w:val="single" w:color="auto" w:sz="4" w:space="0"/>
              <w:left w:val="nil"/>
              <w:bottom w:val="nil"/>
              <w:right w:val="single" w:color="auto" w:sz="4" w:space="0"/>
            </w:tcBorders>
            <w:noWrap w:val="0"/>
            <w:vAlign w:val="center"/>
          </w:tcPr>
          <w:p w14:paraId="505B631A">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677" w:type="dxa"/>
            <w:tcBorders>
              <w:top w:val="nil"/>
              <w:left w:val="single" w:color="auto" w:sz="4" w:space="0"/>
              <w:bottom w:val="single" w:color="000000" w:sz="4" w:space="0"/>
              <w:right w:val="single" w:color="auto" w:sz="4" w:space="0"/>
            </w:tcBorders>
            <w:noWrap w:val="0"/>
            <w:vAlign w:val="center"/>
          </w:tcPr>
          <w:p w14:paraId="1C2369B4">
            <w:pPr>
              <w:jc w:val="center"/>
              <w:rPr>
                <w:sz w:val="20"/>
                <w:szCs w:val="20"/>
              </w:rPr>
            </w:pPr>
            <w:r>
              <w:rPr>
                <w:rFonts w:hint="eastAsia"/>
                <w:sz w:val="20"/>
                <w:szCs w:val="20"/>
              </w:rPr>
              <w:t>时效</w:t>
            </w:r>
          </w:p>
          <w:p w14:paraId="310F8461">
            <w:pPr>
              <w:jc w:val="center"/>
              <w:rPr>
                <w:rFonts w:ascii="宋体" w:hAnsi="宋体" w:cs="宋体"/>
                <w:sz w:val="20"/>
                <w:szCs w:val="20"/>
              </w:rPr>
            </w:pPr>
            <w:r>
              <w:rPr>
                <w:rFonts w:hint="eastAsia"/>
                <w:sz w:val="20"/>
                <w:szCs w:val="20"/>
              </w:rPr>
              <w:t>指标</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CF19B24">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按照年度预算安排，资金拨付到位</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6D89D0FB">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72C90C39">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r>
      <w:tr w14:paraId="565E4025">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auto" w:sz="4" w:space="0"/>
              <w:right w:val="single" w:color="auto" w:sz="4" w:space="0"/>
            </w:tcBorders>
            <w:noWrap w:val="0"/>
            <w:vAlign w:val="center"/>
          </w:tcPr>
          <w:p w14:paraId="0AC7FC83">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noWrap w:val="0"/>
            <w:vAlign w:val="center"/>
          </w:tcPr>
          <w:p w14:paraId="1116D374">
            <w:pPr>
              <w:rPr>
                <w:rFonts w:ascii="宋体" w:hAnsi="宋体" w:cs="宋体"/>
                <w:sz w:val="20"/>
                <w:szCs w:val="20"/>
              </w:rPr>
            </w:pPr>
          </w:p>
        </w:tc>
        <w:tc>
          <w:tcPr>
            <w:tcW w:w="940" w:type="dxa"/>
            <w:tcBorders>
              <w:top w:val="single" w:color="auto" w:sz="4" w:space="0"/>
              <w:left w:val="single" w:color="auto" w:sz="4" w:space="0"/>
              <w:bottom w:val="single" w:color="auto" w:sz="4" w:space="0"/>
              <w:right w:val="single" w:color="auto" w:sz="4" w:space="0"/>
            </w:tcBorders>
            <w:noWrap w:val="0"/>
            <w:vAlign w:val="center"/>
          </w:tcPr>
          <w:p w14:paraId="13F338F4">
            <w:pPr>
              <w:jc w:val="center"/>
              <w:rPr>
                <w:sz w:val="20"/>
                <w:szCs w:val="20"/>
              </w:rPr>
            </w:pPr>
            <w:r>
              <w:rPr>
                <w:rFonts w:hint="eastAsia"/>
                <w:sz w:val="20"/>
                <w:szCs w:val="20"/>
              </w:rPr>
              <w:t>成本</w:t>
            </w:r>
          </w:p>
          <w:p w14:paraId="4298447A">
            <w:pPr>
              <w:jc w:val="center"/>
              <w:rPr>
                <w:rFonts w:ascii="宋体" w:hAnsi="宋体" w:cs="宋体"/>
                <w:sz w:val="20"/>
                <w:szCs w:val="20"/>
              </w:rPr>
            </w:pPr>
            <w:r>
              <w:rPr>
                <w:rFonts w:hint="eastAsia"/>
                <w:sz w:val="20"/>
                <w:szCs w:val="20"/>
              </w:rPr>
              <w:t>指标</w:t>
            </w:r>
          </w:p>
        </w:tc>
        <w:tc>
          <w:tcPr>
            <w:tcW w:w="1523" w:type="dxa"/>
            <w:tcBorders>
              <w:top w:val="single" w:color="auto" w:sz="4" w:space="0"/>
              <w:left w:val="nil"/>
              <w:bottom w:val="single" w:color="auto" w:sz="4" w:space="0"/>
              <w:right w:val="single" w:color="auto" w:sz="4" w:space="0"/>
            </w:tcBorders>
            <w:noWrap w:val="0"/>
            <w:vAlign w:val="center"/>
          </w:tcPr>
          <w:p w14:paraId="50A47705">
            <w:pPr>
              <w:keepNext w:val="0"/>
              <w:keepLines w:val="0"/>
              <w:widowControl/>
              <w:suppressLineNumbers w:val="0"/>
              <w:jc w:val="center"/>
              <w:textAlignment w:val="center"/>
              <w:rPr>
                <w:rFonts w:hint="default" w:ascii="宋体" w:hAnsi="宋体" w:cs="宋体"/>
                <w:sz w:val="20"/>
                <w:szCs w:val="20"/>
                <w:lang w:val="en-US"/>
              </w:rPr>
            </w:pPr>
            <w:r>
              <w:rPr>
                <w:rFonts w:hint="eastAsia" w:ascii="宋体" w:hAnsi="宋体" w:eastAsia="宋体" w:cs="宋体"/>
                <w:i w:val="0"/>
                <w:iCs w:val="0"/>
                <w:color w:val="000000"/>
                <w:kern w:val="0"/>
                <w:sz w:val="20"/>
                <w:szCs w:val="20"/>
                <w:u w:val="none"/>
                <w:lang w:val="en-US" w:eastAsia="zh-CN" w:bidi="ar"/>
              </w:rPr>
              <w:t>严格控制成本，不超年度预算，年度预决算占比率</w:t>
            </w:r>
          </w:p>
        </w:tc>
        <w:tc>
          <w:tcPr>
            <w:tcW w:w="1200" w:type="dxa"/>
            <w:tcBorders>
              <w:top w:val="single" w:color="auto" w:sz="4" w:space="0"/>
              <w:left w:val="nil"/>
              <w:bottom w:val="single" w:color="auto" w:sz="4" w:space="0"/>
              <w:right w:val="single" w:color="auto" w:sz="4" w:space="0"/>
            </w:tcBorders>
            <w:noWrap w:val="0"/>
            <w:vAlign w:val="center"/>
          </w:tcPr>
          <w:p w14:paraId="32F3D56C">
            <w:pPr>
              <w:keepNext w:val="0"/>
              <w:keepLines w:val="0"/>
              <w:widowControl/>
              <w:suppressLineNumbers w:val="0"/>
              <w:jc w:val="center"/>
              <w:textAlignment w:val="center"/>
              <w:rPr>
                <w:rFonts w:ascii="宋体" w:hAnsi="宋体" w:cs="宋体"/>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928" w:type="dxa"/>
            <w:tcBorders>
              <w:top w:val="single" w:color="auto" w:sz="4" w:space="0"/>
              <w:left w:val="nil"/>
              <w:bottom w:val="single" w:color="auto" w:sz="4" w:space="0"/>
              <w:right w:val="single" w:color="auto" w:sz="4" w:space="0"/>
            </w:tcBorders>
            <w:noWrap w:val="0"/>
            <w:vAlign w:val="center"/>
          </w:tcPr>
          <w:p w14:paraId="7A846935">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677" w:type="dxa"/>
            <w:tcBorders>
              <w:top w:val="nil"/>
              <w:left w:val="single" w:color="auto" w:sz="4" w:space="0"/>
              <w:bottom w:val="single" w:color="auto" w:sz="4" w:space="0"/>
              <w:right w:val="single" w:color="auto" w:sz="4" w:space="0"/>
            </w:tcBorders>
            <w:noWrap w:val="0"/>
            <w:vAlign w:val="center"/>
          </w:tcPr>
          <w:p w14:paraId="505BD948">
            <w:pPr>
              <w:jc w:val="center"/>
              <w:rPr>
                <w:sz w:val="20"/>
                <w:szCs w:val="20"/>
              </w:rPr>
            </w:pPr>
            <w:r>
              <w:rPr>
                <w:rFonts w:hint="eastAsia"/>
                <w:sz w:val="20"/>
                <w:szCs w:val="20"/>
              </w:rPr>
              <w:t>成本</w:t>
            </w:r>
          </w:p>
          <w:p w14:paraId="586007B2">
            <w:pPr>
              <w:jc w:val="center"/>
              <w:rPr>
                <w:rFonts w:ascii="宋体" w:hAnsi="宋体" w:cs="宋体"/>
                <w:sz w:val="20"/>
                <w:szCs w:val="20"/>
              </w:rPr>
            </w:pPr>
            <w:r>
              <w:rPr>
                <w:rFonts w:hint="eastAsia"/>
                <w:sz w:val="20"/>
                <w:szCs w:val="20"/>
              </w:rPr>
              <w:t>指标</w:t>
            </w:r>
          </w:p>
        </w:tc>
        <w:tc>
          <w:tcPr>
            <w:tcW w:w="1140" w:type="dxa"/>
            <w:tcBorders>
              <w:top w:val="single" w:color="auto" w:sz="4" w:space="0"/>
              <w:left w:val="nil"/>
              <w:bottom w:val="single" w:color="auto" w:sz="4" w:space="0"/>
              <w:right w:val="single" w:color="auto" w:sz="4" w:space="0"/>
            </w:tcBorders>
            <w:noWrap w:val="0"/>
            <w:vAlign w:val="center"/>
          </w:tcPr>
          <w:p w14:paraId="1F12E37F">
            <w:pPr>
              <w:keepNext w:val="0"/>
              <w:keepLines w:val="0"/>
              <w:widowControl/>
              <w:suppressLineNumbers w:val="0"/>
              <w:jc w:val="center"/>
              <w:textAlignment w:val="center"/>
              <w:rPr>
                <w:rFonts w:hint="default"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严格控制成本，不超年度预算，年度预决算占比率</w:t>
            </w:r>
          </w:p>
        </w:tc>
        <w:tc>
          <w:tcPr>
            <w:tcW w:w="840" w:type="dxa"/>
            <w:tcBorders>
              <w:top w:val="single" w:color="auto" w:sz="4" w:space="0"/>
              <w:left w:val="nil"/>
              <w:bottom w:val="single" w:color="auto" w:sz="4" w:space="0"/>
              <w:right w:val="single" w:color="auto" w:sz="4" w:space="0"/>
            </w:tcBorders>
            <w:noWrap w:val="0"/>
            <w:vAlign w:val="center"/>
          </w:tcPr>
          <w:p w14:paraId="0335CF62">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840" w:type="dxa"/>
            <w:tcBorders>
              <w:top w:val="single" w:color="auto" w:sz="4" w:space="0"/>
              <w:left w:val="nil"/>
              <w:bottom w:val="single" w:color="auto" w:sz="4" w:space="0"/>
              <w:right w:val="single" w:color="auto" w:sz="4" w:space="0"/>
            </w:tcBorders>
            <w:noWrap w:val="0"/>
            <w:vAlign w:val="center"/>
          </w:tcPr>
          <w:p w14:paraId="70AA0F6B">
            <w:pPr>
              <w:keepNext w:val="0"/>
              <w:keepLines w:val="0"/>
              <w:widowControl/>
              <w:suppressLineNumbers w:val="0"/>
              <w:jc w:val="center"/>
              <w:textAlignment w:val="center"/>
              <w:rPr>
                <w:rFonts w:ascii="宋体" w:hAnsi="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r>
      <w:tr w14:paraId="4C0FDF06">
        <w:tblPrEx>
          <w:tblCellMar>
            <w:top w:w="0" w:type="dxa"/>
            <w:left w:w="108" w:type="dxa"/>
            <w:bottom w:w="0" w:type="dxa"/>
            <w:right w:w="108" w:type="dxa"/>
          </w:tblCellMar>
        </w:tblPrEx>
        <w:trPr>
          <w:trHeight w:val="2181" w:hRule="atLeast"/>
        </w:trPr>
        <w:tc>
          <w:tcPr>
            <w:tcW w:w="416" w:type="dxa"/>
            <w:vMerge w:val="continue"/>
            <w:tcBorders>
              <w:top w:val="single" w:color="auto" w:sz="4" w:space="0"/>
              <w:left w:val="single" w:color="auto" w:sz="4" w:space="0"/>
              <w:bottom w:val="single" w:color="auto" w:sz="4" w:space="0"/>
              <w:right w:val="single" w:color="auto" w:sz="4" w:space="0"/>
            </w:tcBorders>
            <w:noWrap w:val="0"/>
            <w:vAlign w:val="center"/>
          </w:tcPr>
          <w:p w14:paraId="2FE3C0AF">
            <w:pPr>
              <w:rPr>
                <w:rFonts w:ascii="宋体" w:hAnsi="宋体" w:cs="宋体"/>
                <w:sz w:val="20"/>
                <w:szCs w:val="20"/>
              </w:rPr>
            </w:pPr>
          </w:p>
        </w:tc>
        <w:tc>
          <w:tcPr>
            <w:tcW w:w="820" w:type="dxa"/>
            <w:vMerge w:val="restart"/>
            <w:tcBorders>
              <w:top w:val="single" w:color="auto" w:sz="4" w:space="0"/>
              <w:left w:val="single" w:color="auto" w:sz="4" w:space="0"/>
              <w:bottom w:val="single" w:color="auto" w:sz="4" w:space="0"/>
              <w:right w:val="single" w:color="auto" w:sz="4" w:space="0"/>
            </w:tcBorders>
            <w:noWrap w:val="0"/>
            <w:vAlign w:val="center"/>
          </w:tcPr>
          <w:p w14:paraId="20BF637C">
            <w:pPr>
              <w:jc w:val="center"/>
              <w:rPr>
                <w:rFonts w:hint="eastAsia" w:eastAsia="宋体"/>
                <w:sz w:val="20"/>
                <w:szCs w:val="20"/>
                <w:lang w:eastAsia="zh-CN"/>
              </w:rPr>
            </w:pPr>
            <w:r>
              <w:rPr>
                <w:rFonts w:hint="eastAsia"/>
                <w:sz w:val="20"/>
                <w:szCs w:val="20"/>
              </w:rPr>
              <w:t>效</w:t>
            </w:r>
          </w:p>
          <w:p w14:paraId="5887D1BB">
            <w:pPr>
              <w:jc w:val="center"/>
              <w:rPr>
                <w:rFonts w:hint="eastAsia" w:eastAsia="宋体"/>
                <w:sz w:val="20"/>
                <w:szCs w:val="20"/>
                <w:lang w:eastAsia="zh-CN"/>
              </w:rPr>
            </w:pPr>
            <w:r>
              <w:rPr>
                <w:rFonts w:hint="eastAsia"/>
                <w:sz w:val="20"/>
                <w:szCs w:val="20"/>
              </w:rPr>
              <w:t>益</w:t>
            </w:r>
          </w:p>
          <w:p w14:paraId="4357BFCF">
            <w:pPr>
              <w:jc w:val="center"/>
              <w:rPr>
                <w:rFonts w:hint="eastAsia" w:eastAsia="宋体"/>
                <w:sz w:val="20"/>
                <w:szCs w:val="20"/>
                <w:lang w:eastAsia="zh-CN"/>
              </w:rPr>
            </w:pPr>
            <w:r>
              <w:rPr>
                <w:rFonts w:hint="eastAsia"/>
                <w:sz w:val="20"/>
                <w:szCs w:val="20"/>
              </w:rPr>
              <w:t>指</w:t>
            </w:r>
          </w:p>
          <w:p w14:paraId="09744EB7">
            <w:pPr>
              <w:jc w:val="center"/>
              <w:rPr>
                <w:rFonts w:ascii="宋体" w:hAnsi="宋体" w:cs="宋体"/>
                <w:sz w:val="20"/>
                <w:szCs w:val="20"/>
              </w:rPr>
            </w:pPr>
            <w:r>
              <w:rPr>
                <w:rFonts w:hint="eastAsia"/>
                <w:sz w:val="20"/>
                <w:szCs w:val="20"/>
              </w:rPr>
              <w:t>标</w:t>
            </w:r>
          </w:p>
        </w:tc>
        <w:tc>
          <w:tcPr>
            <w:tcW w:w="940" w:type="dxa"/>
            <w:tcBorders>
              <w:top w:val="single" w:color="auto" w:sz="4" w:space="0"/>
              <w:left w:val="single" w:color="auto" w:sz="4" w:space="0"/>
              <w:bottom w:val="single" w:color="auto" w:sz="4" w:space="0"/>
              <w:right w:val="single" w:color="auto" w:sz="4" w:space="0"/>
            </w:tcBorders>
            <w:noWrap w:val="0"/>
            <w:vAlign w:val="center"/>
          </w:tcPr>
          <w:p w14:paraId="48004F8E">
            <w:pPr>
              <w:jc w:val="center"/>
              <w:rPr>
                <w:rFonts w:ascii="宋体" w:hAnsi="宋体" w:cs="宋体"/>
                <w:sz w:val="20"/>
                <w:szCs w:val="20"/>
              </w:rPr>
            </w:pPr>
            <w:r>
              <w:rPr>
                <w:rFonts w:hint="eastAsia"/>
                <w:sz w:val="20"/>
                <w:szCs w:val="20"/>
              </w:rPr>
              <w:t>经济效益指标</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1D7AEA80">
            <w:pPr>
              <w:rPr>
                <w:rFonts w:ascii="宋体" w:hAnsi="宋体" w:cs="宋体"/>
                <w:sz w:val="20"/>
                <w:szCs w:val="20"/>
              </w:rPr>
            </w:pPr>
            <w:r>
              <w:rPr>
                <w:rFonts w:hint="eastAsia" w:ascii="宋体" w:hAnsi="宋体" w:cs="宋体"/>
                <w:color w:val="000000"/>
                <w:kern w:val="0"/>
                <w:sz w:val="18"/>
                <w:szCs w:val="18"/>
                <w:lang w:bidi="ar"/>
              </w:rPr>
              <w:t>项目实施不产生经济价值</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37FEAD9">
            <w:pPr>
              <w:rPr>
                <w:rFonts w:hint="eastAsia"/>
                <w:sz w:val="20"/>
                <w:szCs w:val="20"/>
              </w:rPr>
            </w:pPr>
            <w:r>
              <w:rPr>
                <w:rFonts w:hint="eastAsia"/>
                <w:sz w:val="20"/>
                <w:szCs w:val="20"/>
              </w:rPr>
              <w:t>提供全方位的法律服务，保证了项目的顺利进行</w:t>
            </w:r>
          </w:p>
          <w:p w14:paraId="49CF42E2">
            <w:pPr>
              <w:rPr>
                <w:rFonts w:ascii="宋体" w:hAnsi="宋体" w:cs="宋体"/>
                <w:sz w:val="20"/>
                <w:szCs w:val="20"/>
              </w:rPr>
            </w:pPr>
            <w:r>
              <w:rPr>
                <w:rFonts w:hint="eastAsia"/>
                <w:sz w:val="20"/>
                <w:szCs w:val="20"/>
              </w:rPr>
              <w:t>　</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2FE49986">
            <w:pPr>
              <w:rPr>
                <w:rFonts w:hint="eastAsia"/>
                <w:sz w:val="20"/>
                <w:szCs w:val="20"/>
              </w:rPr>
            </w:pPr>
            <w:r>
              <w:rPr>
                <w:rFonts w:hint="eastAsia"/>
                <w:sz w:val="20"/>
                <w:szCs w:val="20"/>
              </w:rPr>
              <w:t>提供全方位的法律服务，保证了项目的顺利进行</w:t>
            </w:r>
          </w:p>
          <w:p w14:paraId="3C9CD1E5">
            <w:pPr>
              <w:rPr>
                <w:rFonts w:ascii="宋体" w:hAnsi="宋体" w:cs="宋体"/>
                <w:kern w:val="2"/>
                <w:sz w:val="20"/>
                <w:szCs w:val="20"/>
                <w:lang w:val="en-US" w:eastAsia="zh-CN" w:bidi="ar-SA"/>
              </w:rPr>
            </w:pPr>
            <w:r>
              <w:rPr>
                <w:rFonts w:hint="eastAsia"/>
                <w:sz w:val="20"/>
                <w:szCs w:val="20"/>
              </w:rPr>
              <w:t>　</w:t>
            </w:r>
          </w:p>
        </w:tc>
        <w:tc>
          <w:tcPr>
            <w:tcW w:w="677" w:type="dxa"/>
            <w:tcBorders>
              <w:top w:val="single" w:color="auto" w:sz="4" w:space="0"/>
              <w:left w:val="single" w:color="auto" w:sz="4" w:space="0"/>
              <w:bottom w:val="single" w:color="auto" w:sz="4" w:space="0"/>
              <w:right w:val="single" w:color="auto" w:sz="4" w:space="0"/>
            </w:tcBorders>
            <w:noWrap w:val="0"/>
            <w:vAlign w:val="center"/>
          </w:tcPr>
          <w:p w14:paraId="02007BAE">
            <w:pPr>
              <w:jc w:val="center"/>
              <w:rPr>
                <w:sz w:val="20"/>
                <w:szCs w:val="20"/>
              </w:rPr>
            </w:pPr>
            <w:r>
              <w:rPr>
                <w:rFonts w:hint="eastAsia"/>
                <w:sz w:val="20"/>
                <w:szCs w:val="20"/>
              </w:rPr>
              <w:t>经济效</w:t>
            </w:r>
          </w:p>
          <w:p w14:paraId="40F24D44">
            <w:pPr>
              <w:jc w:val="center"/>
              <w:rPr>
                <w:rFonts w:ascii="宋体" w:hAnsi="宋体" w:cs="宋体"/>
                <w:sz w:val="20"/>
                <w:szCs w:val="20"/>
              </w:rPr>
            </w:pPr>
            <w:r>
              <w:rPr>
                <w:rFonts w:hint="eastAsia"/>
                <w:sz w:val="20"/>
                <w:szCs w:val="20"/>
              </w:rPr>
              <w:t>益指标</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B2A70F1">
            <w:pPr>
              <w:rPr>
                <w:rFonts w:ascii="宋体" w:hAnsi="宋体" w:cs="宋体"/>
                <w:kern w:val="2"/>
                <w:sz w:val="20"/>
                <w:szCs w:val="20"/>
                <w:lang w:val="en-US" w:eastAsia="zh-CN" w:bidi="ar-SA"/>
              </w:rPr>
            </w:pPr>
            <w:r>
              <w:rPr>
                <w:rFonts w:hint="eastAsia" w:ascii="宋体" w:hAnsi="宋体" w:cs="宋体"/>
                <w:color w:val="000000"/>
                <w:kern w:val="0"/>
                <w:sz w:val="18"/>
                <w:szCs w:val="18"/>
                <w:lang w:bidi="ar"/>
              </w:rPr>
              <w:t>项目实施不产生经济价值</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1260FAF5">
            <w:pPr>
              <w:rPr>
                <w:rFonts w:hint="eastAsia"/>
                <w:sz w:val="20"/>
                <w:szCs w:val="20"/>
              </w:rPr>
            </w:pPr>
            <w:r>
              <w:rPr>
                <w:rFonts w:hint="eastAsia"/>
                <w:sz w:val="20"/>
                <w:szCs w:val="20"/>
              </w:rPr>
              <w:t>提供全方位的法律服务，保证了项目的顺利进行</w:t>
            </w:r>
          </w:p>
          <w:p w14:paraId="35E48113">
            <w:pPr>
              <w:rPr>
                <w:rFonts w:ascii="宋体" w:hAnsi="宋体" w:cs="宋体"/>
                <w:kern w:val="2"/>
                <w:sz w:val="20"/>
                <w:szCs w:val="20"/>
                <w:lang w:val="en-US" w:eastAsia="zh-CN" w:bidi="ar-SA"/>
              </w:rPr>
            </w:pPr>
            <w:r>
              <w:rPr>
                <w:rFonts w:hint="eastAsia"/>
                <w:sz w:val="20"/>
                <w:szCs w:val="20"/>
              </w:rPr>
              <w:t>　</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7E3B8FDF">
            <w:pPr>
              <w:rPr>
                <w:rFonts w:hint="eastAsia"/>
                <w:sz w:val="20"/>
                <w:szCs w:val="20"/>
              </w:rPr>
            </w:pPr>
            <w:r>
              <w:rPr>
                <w:rFonts w:hint="eastAsia"/>
                <w:sz w:val="20"/>
                <w:szCs w:val="20"/>
              </w:rPr>
              <w:t>提供全方位的法律服务，保证了项目的顺利进行</w:t>
            </w:r>
          </w:p>
          <w:p w14:paraId="6AC2F1E6">
            <w:pPr>
              <w:rPr>
                <w:rFonts w:ascii="宋体" w:hAnsi="宋体" w:cs="宋体"/>
                <w:kern w:val="2"/>
                <w:sz w:val="20"/>
                <w:szCs w:val="20"/>
                <w:lang w:val="en-US" w:eastAsia="zh-CN" w:bidi="ar-SA"/>
              </w:rPr>
            </w:pPr>
            <w:r>
              <w:rPr>
                <w:rFonts w:hint="eastAsia"/>
                <w:sz w:val="20"/>
                <w:szCs w:val="20"/>
              </w:rPr>
              <w:t>　</w:t>
            </w:r>
          </w:p>
        </w:tc>
      </w:tr>
      <w:tr w14:paraId="337BF741">
        <w:tblPrEx>
          <w:tblCellMar>
            <w:top w:w="0" w:type="dxa"/>
            <w:left w:w="108" w:type="dxa"/>
            <w:bottom w:w="0" w:type="dxa"/>
            <w:right w:w="108" w:type="dxa"/>
          </w:tblCellMar>
        </w:tblPrEx>
        <w:trPr>
          <w:trHeight w:val="315" w:hRule="atLeast"/>
        </w:trPr>
        <w:tc>
          <w:tcPr>
            <w:tcW w:w="416" w:type="dxa"/>
            <w:vMerge w:val="continue"/>
            <w:tcBorders>
              <w:top w:val="single" w:color="auto" w:sz="4" w:space="0"/>
              <w:left w:val="single" w:color="auto" w:sz="4" w:space="0"/>
              <w:bottom w:val="single" w:color="000000" w:sz="4" w:space="0"/>
              <w:right w:val="single" w:color="auto" w:sz="4" w:space="0"/>
            </w:tcBorders>
            <w:noWrap w:val="0"/>
            <w:vAlign w:val="center"/>
          </w:tcPr>
          <w:p w14:paraId="79E222F3">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noWrap w:val="0"/>
            <w:vAlign w:val="center"/>
          </w:tcPr>
          <w:p w14:paraId="118620E9">
            <w:pPr>
              <w:rPr>
                <w:rFonts w:ascii="宋体" w:hAnsi="宋体" w:cs="宋体"/>
                <w:sz w:val="20"/>
                <w:szCs w:val="20"/>
              </w:rPr>
            </w:pPr>
          </w:p>
        </w:tc>
        <w:tc>
          <w:tcPr>
            <w:tcW w:w="940" w:type="dxa"/>
            <w:vMerge w:val="restart"/>
            <w:tcBorders>
              <w:top w:val="single" w:color="auto" w:sz="4" w:space="0"/>
              <w:left w:val="single" w:color="auto" w:sz="4" w:space="0"/>
              <w:bottom w:val="single" w:color="000000" w:sz="4" w:space="0"/>
              <w:right w:val="single" w:color="auto" w:sz="4" w:space="0"/>
            </w:tcBorders>
            <w:noWrap w:val="0"/>
            <w:vAlign w:val="center"/>
          </w:tcPr>
          <w:p w14:paraId="17FBD72B">
            <w:pPr>
              <w:jc w:val="center"/>
              <w:rPr>
                <w:rFonts w:ascii="宋体" w:hAnsi="宋体" w:cs="宋体"/>
                <w:sz w:val="20"/>
                <w:szCs w:val="20"/>
              </w:rPr>
            </w:pPr>
            <w:r>
              <w:rPr>
                <w:rFonts w:hint="eastAsia"/>
                <w:sz w:val="20"/>
                <w:szCs w:val="20"/>
              </w:rPr>
              <w:t>社会效益指标</w:t>
            </w:r>
          </w:p>
        </w:tc>
        <w:tc>
          <w:tcPr>
            <w:tcW w:w="1523" w:type="dxa"/>
            <w:vMerge w:val="restart"/>
            <w:tcBorders>
              <w:top w:val="single" w:color="auto" w:sz="4" w:space="0"/>
              <w:left w:val="single" w:color="auto" w:sz="4" w:space="0"/>
              <w:right w:val="single" w:color="auto" w:sz="4" w:space="0"/>
            </w:tcBorders>
            <w:noWrap w:val="0"/>
            <w:vAlign w:val="center"/>
          </w:tcPr>
          <w:p w14:paraId="6F4CD333">
            <w:pPr>
              <w:rPr>
                <w:rFonts w:hint="default" w:eastAsia="宋体"/>
                <w:sz w:val="20"/>
                <w:szCs w:val="20"/>
                <w:lang w:val="en-US" w:eastAsia="zh-CN"/>
              </w:rPr>
            </w:pPr>
            <w:r>
              <w:rPr>
                <w:rFonts w:hint="eastAsia"/>
                <w:sz w:val="20"/>
                <w:szCs w:val="20"/>
              </w:rPr>
              <w:t xml:space="preserve"> 指标1：</w:t>
            </w:r>
            <w:r>
              <w:rPr>
                <w:rFonts w:hint="eastAsia"/>
                <w:sz w:val="20"/>
                <w:szCs w:val="20"/>
                <w:lang w:val="en-US" w:eastAsia="zh-CN"/>
              </w:rPr>
              <w:t>机关23年运行工作完成率</w:t>
            </w:r>
          </w:p>
          <w:p w14:paraId="26F2C911">
            <w:pPr>
              <w:rPr>
                <w:rFonts w:ascii="宋体" w:hAnsi="宋体" w:cs="宋体"/>
                <w:sz w:val="20"/>
                <w:szCs w:val="20"/>
              </w:rPr>
            </w:pPr>
          </w:p>
        </w:tc>
        <w:tc>
          <w:tcPr>
            <w:tcW w:w="1200" w:type="dxa"/>
            <w:vMerge w:val="restart"/>
            <w:tcBorders>
              <w:top w:val="single" w:color="auto" w:sz="4" w:space="0"/>
              <w:left w:val="nil"/>
              <w:right w:val="single" w:color="auto" w:sz="4" w:space="0"/>
            </w:tcBorders>
            <w:noWrap w:val="0"/>
            <w:vAlign w:val="center"/>
          </w:tcPr>
          <w:p w14:paraId="3FE1A976">
            <w:pPr>
              <w:rPr>
                <w:rFonts w:ascii="宋体" w:hAnsi="宋体" w:cs="宋体"/>
                <w:sz w:val="20"/>
                <w:szCs w:val="20"/>
              </w:rPr>
            </w:pPr>
            <w:r>
              <w:rPr>
                <w:rFonts w:hint="eastAsia" w:ascii="宋体" w:hAnsi="宋体" w:cs="宋体"/>
                <w:color w:val="000000"/>
                <w:kern w:val="0"/>
                <w:sz w:val="18"/>
                <w:szCs w:val="18"/>
                <w:lang w:val="en-US" w:eastAsia="zh-CN" w:bidi="ar"/>
              </w:rPr>
              <w:t>100%</w:t>
            </w:r>
            <w:r>
              <w:rPr>
                <w:rFonts w:hint="eastAsia"/>
                <w:sz w:val="20"/>
                <w:szCs w:val="20"/>
              </w:rPr>
              <w:t>　</w:t>
            </w:r>
          </w:p>
        </w:tc>
        <w:tc>
          <w:tcPr>
            <w:tcW w:w="928" w:type="dxa"/>
            <w:vMerge w:val="restart"/>
            <w:tcBorders>
              <w:top w:val="single" w:color="auto" w:sz="4" w:space="0"/>
              <w:left w:val="nil"/>
              <w:right w:val="single" w:color="auto" w:sz="4" w:space="0"/>
            </w:tcBorders>
            <w:noWrap w:val="0"/>
            <w:vAlign w:val="center"/>
          </w:tcPr>
          <w:p w14:paraId="340CFB18">
            <w:pPr>
              <w:rPr>
                <w:rFonts w:ascii="宋体" w:hAnsi="宋体" w:cs="宋体"/>
                <w:kern w:val="2"/>
                <w:sz w:val="20"/>
                <w:szCs w:val="20"/>
                <w:lang w:val="en-US" w:eastAsia="zh-CN" w:bidi="ar-SA"/>
              </w:rPr>
            </w:pPr>
            <w:r>
              <w:rPr>
                <w:rFonts w:hint="eastAsia" w:ascii="宋体" w:hAnsi="宋体" w:cs="宋体"/>
                <w:color w:val="000000"/>
                <w:kern w:val="0"/>
                <w:sz w:val="18"/>
                <w:szCs w:val="18"/>
                <w:lang w:val="en-US" w:eastAsia="zh-CN" w:bidi="ar"/>
              </w:rPr>
              <w:t>100%</w:t>
            </w:r>
            <w:r>
              <w:rPr>
                <w:rFonts w:hint="eastAsia"/>
                <w:sz w:val="20"/>
                <w:szCs w:val="20"/>
              </w:rPr>
              <w:t>　</w:t>
            </w:r>
          </w:p>
          <w:p w14:paraId="6A393F9A">
            <w:pPr>
              <w:rPr>
                <w:rFonts w:ascii="宋体" w:hAnsi="宋体" w:cs="宋体"/>
                <w:sz w:val="20"/>
                <w:szCs w:val="20"/>
              </w:rPr>
            </w:pPr>
          </w:p>
        </w:tc>
        <w:tc>
          <w:tcPr>
            <w:tcW w:w="677" w:type="dxa"/>
            <w:vMerge w:val="restart"/>
            <w:tcBorders>
              <w:top w:val="single" w:color="auto" w:sz="4" w:space="0"/>
              <w:left w:val="single" w:color="auto" w:sz="4" w:space="0"/>
              <w:bottom w:val="single" w:color="000000" w:sz="4" w:space="0"/>
              <w:right w:val="single" w:color="auto" w:sz="4" w:space="0"/>
            </w:tcBorders>
            <w:noWrap w:val="0"/>
            <w:vAlign w:val="center"/>
          </w:tcPr>
          <w:p w14:paraId="37C8A0A1">
            <w:pPr>
              <w:jc w:val="center"/>
              <w:rPr>
                <w:sz w:val="20"/>
                <w:szCs w:val="20"/>
              </w:rPr>
            </w:pPr>
            <w:r>
              <w:rPr>
                <w:rFonts w:hint="eastAsia"/>
                <w:sz w:val="20"/>
                <w:szCs w:val="20"/>
              </w:rPr>
              <w:t>社会效</w:t>
            </w:r>
          </w:p>
          <w:p w14:paraId="10C33A96">
            <w:pPr>
              <w:jc w:val="center"/>
              <w:rPr>
                <w:rFonts w:ascii="宋体" w:hAnsi="宋体" w:cs="宋体"/>
                <w:sz w:val="20"/>
                <w:szCs w:val="20"/>
              </w:rPr>
            </w:pPr>
            <w:r>
              <w:rPr>
                <w:rFonts w:hint="eastAsia"/>
                <w:sz w:val="20"/>
                <w:szCs w:val="20"/>
              </w:rPr>
              <w:t>益指标</w:t>
            </w:r>
          </w:p>
        </w:tc>
        <w:tc>
          <w:tcPr>
            <w:tcW w:w="1140" w:type="dxa"/>
            <w:vMerge w:val="restart"/>
            <w:tcBorders>
              <w:top w:val="single" w:color="auto" w:sz="4" w:space="0"/>
              <w:left w:val="nil"/>
              <w:right w:val="single" w:color="auto" w:sz="4" w:space="0"/>
            </w:tcBorders>
            <w:noWrap w:val="0"/>
            <w:vAlign w:val="center"/>
          </w:tcPr>
          <w:p w14:paraId="34C4C16D">
            <w:pPr>
              <w:rPr>
                <w:rFonts w:hint="default" w:eastAsia="宋体"/>
                <w:sz w:val="20"/>
                <w:szCs w:val="20"/>
                <w:lang w:val="en-US" w:eastAsia="zh-CN"/>
              </w:rPr>
            </w:pPr>
            <w:r>
              <w:rPr>
                <w:rFonts w:hint="eastAsia"/>
                <w:sz w:val="20"/>
                <w:szCs w:val="20"/>
              </w:rPr>
              <w:t xml:space="preserve"> 指标1：</w:t>
            </w:r>
            <w:r>
              <w:rPr>
                <w:rFonts w:hint="eastAsia"/>
                <w:sz w:val="20"/>
                <w:szCs w:val="20"/>
                <w:lang w:val="en-US" w:eastAsia="zh-CN"/>
              </w:rPr>
              <w:t>机关23年运行工作完成率</w:t>
            </w:r>
          </w:p>
          <w:p w14:paraId="3D3E04A2">
            <w:pPr>
              <w:rPr>
                <w:rFonts w:ascii="宋体" w:hAnsi="宋体" w:cs="宋体"/>
                <w:kern w:val="2"/>
                <w:sz w:val="20"/>
                <w:szCs w:val="20"/>
                <w:lang w:val="en-US" w:eastAsia="zh-CN" w:bidi="ar-SA"/>
              </w:rPr>
            </w:pPr>
          </w:p>
          <w:p w14:paraId="311FC965">
            <w:pPr>
              <w:rPr>
                <w:rFonts w:ascii="宋体" w:hAnsi="宋体" w:cs="宋体"/>
                <w:sz w:val="20"/>
                <w:szCs w:val="20"/>
              </w:rPr>
            </w:pPr>
          </w:p>
        </w:tc>
        <w:tc>
          <w:tcPr>
            <w:tcW w:w="840" w:type="dxa"/>
            <w:vMerge w:val="restart"/>
            <w:tcBorders>
              <w:top w:val="single" w:color="auto" w:sz="4" w:space="0"/>
              <w:left w:val="nil"/>
              <w:right w:val="single" w:color="auto" w:sz="4" w:space="0"/>
            </w:tcBorders>
            <w:noWrap w:val="0"/>
            <w:vAlign w:val="center"/>
          </w:tcPr>
          <w:p w14:paraId="6469344E">
            <w:pPr>
              <w:rPr>
                <w:rFonts w:ascii="宋体" w:hAnsi="宋体" w:cs="宋体"/>
                <w:kern w:val="2"/>
                <w:sz w:val="20"/>
                <w:szCs w:val="20"/>
                <w:lang w:val="en-US" w:eastAsia="zh-CN" w:bidi="ar-SA"/>
              </w:rPr>
            </w:pPr>
            <w:r>
              <w:rPr>
                <w:rFonts w:hint="eastAsia" w:ascii="宋体" w:hAnsi="宋体" w:cs="宋体"/>
                <w:color w:val="000000"/>
                <w:kern w:val="0"/>
                <w:sz w:val="18"/>
                <w:szCs w:val="18"/>
                <w:lang w:val="en-US" w:eastAsia="zh-CN" w:bidi="ar"/>
              </w:rPr>
              <w:t>100%</w:t>
            </w:r>
            <w:r>
              <w:rPr>
                <w:rFonts w:hint="eastAsia"/>
                <w:sz w:val="20"/>
                <w:szCs w:val="20"/>
              </w:rPr>
              <w:t>　</w:t>
            </w:r>
          </w:p>
          <w:p w14:paraId="2B01322C">
            <w:pPr>
              <w:rPr>
                <w:rFonts w:ascii="宋体" w:hAnsi="宋体" w:cs="宋体"/>
                <w:sz w:val="20"/>
                <w:szCs w:val="20"/>
              </w:rPr>
            </w:pPr>
          </w:p>
        </w:tc>
        <w:tc>
          <w:tcPr>
            <w:tcW w:w="840" w:type="dxa"/>
            <w:tcBorders>
              <w:top w:val="single" w:color="auto" w:sz="4" w:space="0"/>
              <w:left w:val="single" w:color="auto" w:sz="4" w:space="0"/>
              <w:bottom w:val="nil"/>
              <w:right w:val="single" w:color="auto" w:sz="4" w:space="0"/>
            </w:tcBorders>
            <w:noWrap w:val="0"/>
            <w:vAlign w:val="center"/>
          </w:tcPr>
          <w:p w14:paraId="35BB953F">
            <w:pPr>
              <w:rPr>
                <w:rFonts w:ascii="宋体" w:hAnsi="宋体" w:cs="宋体"/>
                <w:kern w:val="2"/>
                <w:sz w:val="20"/>
                <w:szCs w:val="20"/>
                <w:lang w:val="en-US" w:eastAsia="zh-CN" w:bidi="ar-SA"/>
              </w:rPr>
            </w:pPr>
            <w:r>
              <w:rPr>
                <w:rFonts w:hint="eastAsia" w:ascii="宋体" w:hAnsi="宋体" w:cs="宋体"/>
                <w:color w:val="000000"/>
                <w:kern w:val="0"/>
                <w:sz w:val="18"/>
                <w:szCs w:val="18"/>
                <w:lang w:val="en-US" w:eastAsia="zh-CN" w:bidi="ar"/>
              </w:rPr>
              <w:t>100%</w:t>
            </w:r>
            <w:r>
              <w:rPr>
                <w:rFonts w:hint="eastAsia"/>
                <w:sz w:val="20"/>
                <w:szCs w:val="20"/>
              </w:rPr>
              <w:t>　</w:t>
            </w:r>
          </w:p>
          <w:p w14:paraId="7825D076">
            <w:pPr>
              <w:rPr>
                <w:rFonts w:ascii="宋体" w:hAnsi="宋体" w:cs="宋体"/>
                <w:kern w:val="2"/>
                <w:sz w:val="20"/>
                <w:szCs w:val="20"/>
                <w:lang w:val="en-US" w:eastAsia="zh-CN" w:bidi="ar-SA"/>
              </w:rPr>
            </w:pPr>
          </w:p>
        </w:tc>
      </w:tr>
      <w:tr w14:paraId="159D6CD8">
        <w:tblPrEx>
          <w:tblCellMar>
            <w:top w:w="0" w:type="dxa"/>
            <w:left w:w="108" w:type="dxa"/>
            <w:bottom w:w="0" w:type="dxa"/>
            <w:right w:w="108" w:type="dxa"/>
          </w:tblCellMar>
        </w:tblPrEx>
        <w:trPr>
          <w:trHeight w:val="90"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3425E9B1">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noWrap w:val="0"/>
            <w:vAlign w:val="center"/>
          </w:tcPr>
          <w:p w14:paraId="52A68F1F">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noWrap w:val="0"/>
            <w:vAlign w:val="center"/>
          </w:tcPr>
          <w:p w14:paraId="167E9E8D">
            <w:pPr>
              <w:rPr>
                <w:rFonts w:ascii="宋体" w:hAnsi="宋体" w:cs="宋体"/>
                <w:sz w:val="20"/>
                <w:szCs w:val="20"/>
              </w:rPr>
            </w:pPr>
          </w:p>
        </w:tc>
        <w:tc>
          <w:tcPr>
            <w:tcW w:w="1523" w:type="dxa"/>
            <w:vMerge w:val="continue"/>
            <w:tcBorders>
              <w:left w:val="single" w:color="auto" w:sz="4" w:space="0"/>
              <w:bottom w:val="single" w:color="auto" w:sz="4" w:space="0"/>
              <w:right w:val="single" w:color="auto" w:sz="4" w:space="0"/>
            </w:tcBorders>
            <w:noWrap w:val="0"/>
            <w:vAlign w:val="center"/>
          </w:tcPr>
          <w:p w14:paraId="3BAC7B08">
            <w:pPr>
              <w:rPr>
                <w:rFonts w:ascii="宋体" w:hAnsi="宋体" w:cs="宋体"/>
                <w:sz w:val="20"/>
                <w:szCs w:val="20"/>
              </w:rPr>
            </w:pPr>
          </w:p>
        </w:tc>
        <w:tc>
          <w:tcPr>
            <w:tcW w:w="1200" w:type="dxa"/>
            <w:vMerge w:val="continue"/>
            <w:tcBorders>
              <w:left w:val="nil"/>
              <w:bottom w:val="single" w:color="auto" w:sz="4" w:space="0"/>
              <w:right w:val="single" w:color="auto" w:sz="4" w:space="0"/>
            </w:tcBorders>
            <w:noWrap w:val="0"/>
            <w:vAlign w:val="center"/>
          </w:tcPr>
          <w:p w14:paraId="2A49F9A6">
            <w:pPr>
              <w:rPr>
                <w:rFonts w:ascii="宋体" w:hAnsi="宋体" w:cs="宋体"/>
                <w:sz w:val="20"/>
                <w:szCs w:val="20"/>
              </w:rPr>
            </w:pPr>
          </w:p>
        </w:tc>
        <w:tc>
          <w:tcPr>
            <w:tcW w:w="928" w:type="dxa"/>
            <w:vMerge w:val="continue"/>
            <w:tcBorders>
              <w:left w:val="nil"/>
              <w:bottom w:val="single" w:color="auto" w:sz="4" w:space="0"/>
              <w:right w:val="single" w:color="auto" w:sz="4" w:space="0"/>
            </w:tcBorders>
            <w:noWrap w:val="0"/>
            <w:vAlign w:val="center"/>
          </w:tcPr>
          <w:p w14:paraId="6262DB58">
            <w:pPr>
              <w:rPr>
                <w:rFonts w:ascii="宋体" w:hAnsi="宋体" w:cs="宋体"/>
                <w:sz w:val="20"/>
                <w:szCs w:val="20"/>
              </w:rPr>
            </w:pPr>
          </w:p>
        </w:tc>
        <w:tc>
          <w:tcPr>
            <w:tcW w:w="677" w:type="dxa"/>
            <w:vMerge w:val="continue"/>
            <w:tcBorders>
              <w:top w:val="nil"/>
              <w:left w:val="single" w:color="auto" w:sz="4" w:space="0"/>
              <w:bottom w:val="single" w:color="000000" w:sz="4" w:space="0"/>
              <w:right w:val="single" w:color="auto" w:sz="4" w:space="0"/>
            </w:tcBorders>
            <w:noWrap w:val="0"/>
            <w:vAlign w:val="center"/>
          </w:tcPr>
          <w:p w14:paraId="4464D4AC">
            <w:pPr>
              <w:rPr>
                <w:rFonts w:ascii="宋体" w:hAnsi="宋体" w:cs="宋体"/>
                <w:sz w:val="20"/>
                <w:szCs w:val="20"/>
              </w:rPr>
            </w:pPr>
          </w:p>
        </w:tc>
        <w:tc>
          <w:tcPr>
            <w:tcW w:w="1140" w:type="dxa"/>
            <w:vMerge w:val="continue"/>
            <w:tcBorders>
              <w:left w:val="nil"/>
              <w:bottom w:val="single" w:color="auto" w:sz="4" w:space="0"/>
              <w:right w:val="single" w:color="auto" w:sz="4" w:space="0"/>
            </w:tcBorders>
            <w:noWrap w:val="0"/>
            <w:vAlign w:val="center"/>
          </w:tcPr>
          <w:p w14:paraId="3793D924">
            <w:pPr>
              <w:rPr>
                <w:rFonts w:ascii="宋体" w:hAnsi="宋体" w:cs="宋体"/>
                <w:sz w:val="20"/>
                <w:szCs w:val="20"/>
              </w:rPr>
            </w:pPr>
          </w:p>
        </w:tc>
        <w:tc>
          <w:tcPr>
            <w:tcW w:w="840" w:type="dxa"/>
            <w:vMerge w:val="continue"/>
            <w:tcBorders>
              <w:left w:val="nil"/>
              <w:bottom w:val="single" w:color="auto" w:sz="4" w:space="0"/>
              <w:right w:val="single" w:color="auto" w:sz="4" w:space="0"/>
            </w:tcBorders>
            <w:noWrap w:val="0"/>
            <w:vAlign w:val="center"/>
          </w:tcPr>
          <w:p w14:paraId="48F32050">
            <w:pPr>
              <w:rPr>
                <w:rFonts w:ascii="宋体" w:hAnsi="宋体" w:cs="宋体"/>
                <w:sz w:val="20"/>
                <w:szCs w:val="20"/>
              </w:rPr>
            </w:pPr>
          </w:p>
        </w:tc>
        <w:tc>
          <w:tcPr>
            <w:tcW w:w="840" w:type="dxa"/>
            <w:tcBorders>
              <w:top w:val="nil"/>
              <w:left w:val="single" w:color="auto" w:sz="4" w:space="0"/>
              <w:bottom w:val="single" w:color="auto" w:sz="4" w:space="0"/>
              <w:right w:val="single" w:color="auto" w:sz="4" w:space="0"/>
            </w:tcBorders>
            <w:noWrap w:val="0"/>
            <w:vAlign w:val="center"/>
          </w:tcPr>
          <w:p w14:paraId="732A172C">
            <w:pPr>
              <w:rPr>
                <w:rFonts w:ascii="宋体" w:hAnsi="宋体" w:cs="宋体"/>
                <w:sz w:val="20"/>
                <w:szCs w:val="20"/>
              </w:rPr>
            </w:pPr>
          </w:p>
        </w:tc>
      </w:tr>
      <w:tr w14:paraId="65D6613B">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3B942786">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noWrap w:val="0"/>
            <w:vAlign w:val="center"/>
          </w:tcPr>
          <w:p w14:paraId="49B7B099">
            <w:pPr>
              <w:rPr>
                <w:rFonts w:ascii="宋体" w:hAnsi="宋体" w:cs="宋体"/>
                <w:sz w:val="20"/>
                <w:szCs w:val="20"/>
              </w:rPr>
            </w:pPr>
          </w:p>
        </w:tc>
        <w:tc>
          <w:tcPr>
            <w:tcW w:w="940" w:type="dxa"/>
            <w:vMerge w:val="restart"/>
            <w:tcBorders>
              <w:top w:val="nil"/>
              <w:left w:val="single" w:color="auto" w:sz="4" w:space="0"/>
              <w:bottom w:val="single" w:color="000000" w:sz="4" w:space="0"/>
              <w:right w:val="single" w:color="auto" w:sz="4" w:space="0"/>
            </w:tcBorders>
            <w:noWrap w:val="0"/>
            <w:vAlign w:val="center"/>
          </w:tcPr>
          <w:p w14:paraId="70AB4226">
            <w:pPr>
              <w:jc w:val="center"/>
              <w:rPr>
                <w:rFonts w:ascii="宋体" w:hAnsi="宋体" w:cs="宋体"/>
                <w:sz w:val="20"/>
                <w:szCs w:val="20"/>
              </w:rPr>
            </w:pPr>
            <w:r>
              <w:rPr>
                <w:rFonts w:hint="eastAsia"/>
                <w:sz w:val="20"/>
                <w:szCs w:val="20"/>
              </w:rPr>
              <w:t>生态效益指标</w:t>
            </w:r>
          </w:p>
        </w:tc>
        <w:tc>
          <w:tcPr>
            <w:tcW w:w="1523" w:type="dxa"/>
            <w:vMerge w:val="restart"/>
            <w:tcBorders>
              <w:top w:val="nil"/>
              <w:left w:val="nil"/>
              <w:right w:val="single" w:color="auto" w:sz="4" w:space="0"/>
            </w:tcBorders>
            <w:noWrap w:val="0"/>
            <w:vAlign w:val="center"/>
          </w:tcPr>
          <w:p w14:paraId="3497A92E">
            <w:pPr>
              <w:rPr>
                <w:rFonts w:hint="eastAsia"/>
                <w:sz w:val="20"/>
                <w:szCs w:val="20"/>
              </w:rPr>
            </w:pPr>
            <w:r>
              <w:rPr>
                <w:rFonts w:hint="eastAsia"/>
                <w:sz w:val="20"/>
                <w:szCs w:val="20"/>
              </w:rPr>
              <w:t xml:space="preserve"> 指标1：是否对当地生态环境造成影响</w:t>
            </w:r>
          </w:p>
          <w:p w14:paraId="4D03BA7D">
            <w:pPr>
              <w:rPr>
                <w:rFonts w:ascii="宋体" w:hAnsi="宋体" w:cs="宋体"/>
                <w:sz w:val="20"/>
                <w:szCs w:val="20"/>
              </w:rPr>
            </w:pPr>
            <w:r>
              <w:rPr>
                <w:rFonts w:hint="eastAsia"/>
                <w:sz w:val="20"/>
                <w:szCs w:val="20"/>
              </w:rPr>
              <w:t xml:space="preserve"> </w:t>
            </w:r>
          </w:p>
        </w:tc>
        <w:tc>
          <w:tcPr>
            <w:tcW w:w="1200" w:type="dxa"/>
            <w:vMerge w:val="restart"/>
            <w:tcBorders>
              <w:top w:val="nil"/>
              <w:left w:val="nil"/>
              <w:right w:val="single" w:color="auto" w:sz="4" w:space="0"/>
            </w:tcBorders>
            <w:noWrap w:val="0"/>
            <w:vAlign w:val="center"/>
          </w:tcPr>
          <w:p w14:paraId="2F5329C0">
            <w:pPr>
              <w:rPr>
                <w:rFonts w:hint="eastAsia"/>
                <w:sz w:val="20"/>
                <w:szCs w:val="20"/>
              </w:rPr>
            </w:pPr>
            <w:r>
              <w:rPr>
                <w:rFonts w:hint="eastAsia"/>
                <w:sz w:val="20"/>
                <w:szCs w:val="20"/>
              </w:rPr>
              <w:t>不对周边生态环境带来影响　</w:t>
            </w:r>
          </w:p>
          <w:p w14:paraId="4E0326DA">
            <w:pPr>
              <w:rPr>
                <w:rFonts w:ascii="宋体" w:hAnsi="宋体" w:cs="宋体"/>
                <w:sz w:val="20"/>
                <w:szCs w:val="20"/>
              </w:rPr>
            </w:pPr>
            <w:r>
              <w:rPr>
                <w:rFonts w:hint="eastAsia"/>
                <w:sz w:val="20"/>
                <w:szCs w:val="20"/>
              </w:rPr>
              <w:t>　</w:t>
            </w:r>
          </w:p>
        </w:tc>
        <w:tc>
          <w:tcPr>
            <w:tcW w:w="928" w:type="dxa"/>
            <w:vMerge w:val="restart"/>
            <w:tcBorders>
              <w:top w:val="nil"/>
              <w:left w:val="nil"/>
              <w:right w:val="single" w:color="auto" w:sz="4" w:space="0"/>
            </w:tcBorders>
            <w:noWrap w:val="0"/>
            <w:vAlign w:val="center"/>
          </w:tcPr>
          <w:p w14:paraId="52A64410">
            <w:pPr>
              <w:rPr>
                <w:rFonts w:hint="eastAsia"/>
                <w:sz w:val="20"/>
                <w:szCs w:val="20"/>
              </w:rPr>
            </w:pPr>
            <w:r>
              <w:rPr>
                <w:rFonts w:hint="eastAsia"/>
                <w:sz w:val="20"/>
                <w:szCs w:val="20"/>
              </w:rPr>
              <w:t>不对周边生态环境带来影响　</w:t>
            </w:r>
          </w:p>
          <w:p w14:paraId="664EF4C7">
            <w:pPr>
              <w:rPr>
                <w:rFonts w:ascii="宋体" w:hAnsi="宋体" w:cs="宋体"/>
                <w:kern w:val="2"/>
                <w:sz w:val="20"/>
                <w:szCs w:val="20"/>
                <w:lang w:val="en-US" w:eastAsia="zh-CN" w:bidi="ar-SA"/>
              </w:rPr>
            </w:pPr>
            <w:r>
              <w:rPr>
                <w:rFonts w:hint="eastAsia"/>
                <w:sz w:val="20"/>
                <w:szCs w:val="20"/>
              </w:rPr>
              <w:t>　</w:t>
            </w:r>
          </w:p>
          <w:p w14:paraId="0CFCE191">
            <w:pPr>
              <w:rPr>
                <w:rFonts w:ascii="宋体" w:hAnsi="宋体" w:cs="宋体"/>
                <w:sz w:val="20"/>
                <w:szCs w:val="20"/>
              </w:rPr>
            </w:pPr>
          </w:p>
        </w:tc>
        <w:tc>
          <w:tcPr>
            <w:tcW w:w="677" w:type="dxa"/>
            <w:vMerge w:val="restart"/>
            <w:tcBorders>
              <w:top w:val="nil"/>
              <w:left w:val="single" w:color="auto" w:sz="4" w:space="0"/>
              <w:bottom w:val="single" w:color="000000" w:sz="4" w:space="0"/>
              <w:right w:val="single" w:color="auto" w:sz="4" w:space="0"/>
            </w:tcBorders>
            <w:noWrap w:val="0"/>
            <w:vAlign w:val="center"/>
          </w:tcPr>
          <w:p w14:paraId="164ED9FC">
            <w:pPr>
              <w:jc w:val="center"/>
              <w:rPr>
                <w:rFonts w:ascii="宋体" w:hAnsi="宋体" w:cs="宋体"/>
                <w:sz w:val="20"/>
                <w:szCs w:val="20"/>
              </w:rPr>
            </w:pPr>
            <w:r>
              <w:rPr>
                <w:rFonts w:hint="eastAsia"/>
                <w:sz w:val="20"/>
                <w:szCs w:val="20"/>
              </w:rPr>
              <w:t>生态效益指标</w:t>
            </w:r>
          </w:p>
        </w:tc>
        <w:tc>
          <w:tcPr>
            <w:tcW w:w="1140" w:type="dxa"/>
            <w:tcBorders>
              <w:top w:val="single" w:color="auto" w:sz="4" w:space="0"/>
              <w:left w:val="single" w:color="auto" w:sz="4" w:space="0"/>
              <w:bottom w:val="nil"/>
              <w:right w:val="single" w:color="auto" w:sz="4" w:space="0"/>
            </w:tcBorders>
            <w:noWrap w:val="0"/>
            <w:vAlign w:val="center"/>
          </w:tcPr>
          <w:p w14:paraId="183E13B9">
            <w:pPr>
              <w:rPr>
                <w:rFonts w:hint="eastAsia"/>
                <w:sz w:val="20"/>
                <w:szCs w:val="20"/>
              </w:rPr>
            </w:pPr>
            <w:r>
              <w:rPr>
                <w:rFonts w:hint="eastAsia"/>
                <w:sz w:val="20"/>
                <w:szCs w:val="20"/>
              </w:rPr>
              <w:t xml:space="preserve"> 指标1：是否对当地生态环境造成影响</w:t>
            </w:r>
          </w:p>
          <w:p w14:paraId="72436600">
            <w:pPr>
              <w:rPr>
                <w:rFonts w:ascii="宋体" w:hAnsi="宋体" w:cs="宋体"/>
                <w:kern w:val="2"/>
                <w:sz w:val="20"/>
                <w:szCs w:val="20"/>
                <w:lang w:val="en-US" w:eastAsia="zh-CN" w:bidi="ar-SA"/>
              </w:rPr>
            </w:pPr>
            <w:r>
              <w:rPr>
                <w:rFonts w:hint="eastAsia"/>
                <w:sz w:val="20"/>
                <w:szCs w:val="20"/>
              </w:rPr>
              <w:t xml:space="preserve"> </w:t>
            </w:r>
          </w:p>
        </w:tc>
        <w:tc>
          <w:tcPr>
            <w:tcW w:w="840" w:type="dxa"/>
            <w:vMerge w:val="restart"/>
            <w:tcBorders>
              <w:top w:val="nil"/>
              <w:left w:val="nil"/>
              <w:right w:val="single" w:color="auto" w:sz="4" w:space="0"/>
            </w:tcBorders>
            <w:noWrap w:val="0"/>
            <w:vAlign w:val="center"/>
          </w:tcPr>
          <w:p w14:paraId="1C88C34C">
            <w:pPr>
              <w:rPr>
                <w:rFonts w:hint="eastAsia"/>
                <w:sz w:val="20"/>
                <w:szCs w:val="20"/>
              </w:rPr>
            </w:pPr>
            <w:r>
              <w:rPr>
                <w:rFonts w:hint="eastAsia"/>
                <w:sz w:val="20"/>
                <w:szCs w:val="20"/>
              </w:rPr>
              <w:t>不对周边生态环境带来影响　</w:t>
            </w:r>
          </w:p>
          <w:p w14:paraId="5FB18955">
            <w:pPr>
              <w:rPr>
                <w:rFonts w:ascii="宋体" w:hAnsi="宋体" w:cs="宋体"/>
                <w:kern w:val="2"/>
                <w:sz w:val="20"/>
                <w:szCs w:val="20"/>
                <w:lang w:val="en-US" w:eastAsia="zh-CN" w:bidi="ar-SA"/>
              </w:rPr>
            </w:pPr>
            <w:r>
              <w:rPr>
                <w:rFonts w:hint="eastAsia"/>
                <w:sz w:val="20"/>
                <w:szCs w:val="20"/>
              </w:rPr>
              <w:t>　</w:t>
            </w:r>
          </w:p>
          <w:p w14:paraId="0E88CA3D">
            <w:pPr>
              <w:rPr>
                <w:rFonts w:ascii="宋体" w:hAnsi="宋体" w:cs="宋体"/>
                <w:sz w:val="20"/>
                <w:szCs w:val="20"/>
              </w:rPr>
            </w:pPr>
          </w:p>
        </w:tc>
        <w:tc>
          <w:tcPr>
            <w:tcW w:w="840" w:type="dxa"/>
            <w:vMerge w:val="restart"/>
            <w:tcBorders>
              <w:top w:val="single" w:color="auto" w:sz="4" w:space="0"/>
              <w:left w:val="nil"/>
              <w:right w:val="single" w:color="auto" w:sz="4" w:space="0"/>
            </w:tcBorders>
            <w:noWrap w:val="0"/>
            <w:vAlign w:val="center"/>
          </w:tcPr>
          <w:p w14:paraId="7FA70A67">
            <w:pPr>
              <w:rPr>
                <w:rFonts w:hint="eastAsia"/>
                <w:sz w:val="20"/>
                <w:szCs w:val="20"/>
              </w:rPr>
            </w:pPr>
            <w:r>
              <w:rPr>
                <w:rFonts w:hint="eastAsia"/>
                <w:sz w:val="20"/>
                <w:szCs w:val="20"/>
              </w:rPr>
              <w:t>不对周边生态环境带来影响　</w:t>
            </w:r>
          </w:p>
          <w:p w14:paraId="1698B613">
            <w:pPr>
              <w:rPr>
                <w:rFonts w:ascii="宋体" w:hAnsi="宋体" w:cs="宋体"/>
                <w:kern w:val="2"/>
                <w:sz w:val="20"/>
                <w:szCs w:val="20"/>
                <w:lang w:val="en-US" w:eastAsia="zh-CN" w:bidi="ar-SA"/>
              </w:rPr>
            </w:pPr>
            <w:r>
              <w:rPr>
                <w:rFonts w:hint="eastAsia"/>
                <w:sz w:val="20"/>
                <w:szCs w:val="20"/>
              </w:rPr>
              <w:t>　</w:t>
            </w:r>
          </w:p>
          <w:p w14:paraId="26DE6237">
            <w:pPr>
              <w:rPr>
                <w:rFonts w:ascii="宋体" w:hAnsi="宋体" w:cs="宋体"/>
                <w:kern w:val="2"/>
                <w:sz w:val="20"/>
                <w:szCs w:val="20"/>
                <w:lang w:val="en-US" w:eastAsia="zh-CN" w:bidi="ar-SA"/>
              </w:rPr>
            </w:pPr>
          </w:p>
          <w:p w14:paraId="3F313BAB">
            <w:pPr>
              <w:rPr>
                <w:rFonts w:ascii="宋体" w:hAnsi="宋体" w:cs="宋体"/>
                <w:sz w:val="20"/>
                <w:szCs w:val="20"/>
              </w:rPr>
            </w:pPr>
          </w:p>
        </w:tc>
      </w:tr>
      <w:tr w14:paraId="57212E5D">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19C2585A">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noWrap w:val="0"/>
            <w:vAlign w:val="center"/>
          </w:tcPr>
          <w:p w14:paraId="725FB215">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noWrap w:val="0"/>
            <w:vAlign w:val="center"/>
          </w:tcPr>
          <w:p w14:paraId="22ACB499">
            <w:pPr>
              <w:rPr>
                <w:rFonts w:ascii="宋体" w:hAnsi="宋体" w:cs="宋体"/>
                <w:sz w:val="20"/>
                <w:szCs w:val="20"/>
              </w:rPr>
            </w:pPr>
          </w:p>
        </w:tc>
        <w:tc>
          <w:tcPr>
            <w:tcW w:w="1523" w:type="dxa"/>
            <w:vMerge w:val="continue"/>
            <w:tcBorders>
              <w:left w:val="nil"/>
              <w:bottom w:val="single" w:color="auto" w:sz="4" w:space="0"/>
              <w:right w:val="single" w:color="auto" w:sz="4" w:space="0"/>
            </w:tcBorders>
            <w:noWrap w:val="0"/>
            <w:vAlign w:val="center"/>
          </w:tcPr>
          <w:p w14:paraId="678329CD">
            <w:pPr>
              <w:rPr>
                <w:rFonts w:ascii="宋体" w:hAnsi="宋体" w:cs="宋体"/>
                <w:sz w:val="20"/>
                <w:szCs w:val="20"/>
              </w:rPr>
            </w:pPr>
          </w:p>
        </w:tc>
        <w:tc>
          <w:tcPr>
            <w:tcW w:w="1200" w:type="dxa"/>
            <w:vMerge w:val="continue"/>
            <w:tcBorders>
              <w:left w:val="nil"/>
              <w:bottom w:val="single" w:color="auto" w:sz="4" w:space="0"/>
              <w:right w:val="single" w:color="auto" w:sz="4" w:space="0"/>
            </w:tcBorders>
            <w:noWrap w:val="0"/>
            <w:vAlign w:val="center"/>
          </w:tcPr>
          <w:p w14:paraId="00F99BEC">
            <w:pPr>
              <w:rPr>
                <w:rFonts w:ascii="宋体" w:hAnsi="宋体" w:cs="宋体"/>
                <w:sz w:val="20"/>
                <w:szCs w:val="20"/>
              </w:rPr>
            </w:pPr>
          </w:p>
        </w:tc>
        <w:tc>
          <w:tcPr>
            <w:tcW w:w="928" w:type="dxa"/>
            <w:vMerge w:val="continue"/>
            <w:tcBorders>
              <w:left w:val="nil"/>
              <w:bottom w:val="single" w:color="auto" w:sz="4" w:space="0"/>
              <w:right w:val="single" w:color="auto" w:sz="4" w:space="0"/>
            </w:tcBorders>
            <w:noWrap w:val="0"/>
            <w:vAlign w:val="center"/>
          </w:tcPr>
          <w:p w14:paraId="2F50966D">
            <w:pPr>
              <w:rPr>
                <w:rFonts w:ascii="宋体" w:hAnsi="宋体" w:cs="宋体"/>
                <w:sz w:val="20"/>
                <w:szCs w:val="20"/>
              </w:rPr>
            </w:pPr>
          </w:p>
        </w:tc>
        <w:tc>
          <w:tcPr>
            <w:tcW w:w="677" w:type="dxa"/>
            <w:vMerge w:val="continue"/>
            <w:tcBorders>
              <w:top w:val="nil"/>
              <w:left w:val="single" w:color="auto" w:sz="4" w:space="0"/>
              <w:bottom w:val="single" w:color="000000" w:sz="4" w:space="0"/>
              <w:right w:val="single" w:color="auto" w:sz="4" w:space="0"/>
            </w:tcBorders>
            <w:noWrap w:val="0"/>
            <w:vAlign w:val="center"/>
          </w:tcPr>
          <w:p w14:paraId="32A16033">
            <w:pPr>
              <w:rPr>
                <w:rFonts w:ascii="宋体" w:hAnsi="宋体" w:cs="宋体"/>
                <w:sz w:val="20"/>
                <w:szCs w:val="20"/>
              </w:rPr>
            </w:pPr>
          </w:p>
        </w:tc>
        <w:tc>
          <w:tcPr>
            <w:tcW w:w="1140" w:type="dxa"/>
            <w:tcBorders>
              <w:top w:val="nil"/>
              <w:left w:val="single" w:color="auto" w:sz="4" w:space="0"/>
              <w:bottom w:val="single" w:color="auto" w:sz="4" w:space="0"/>
              <w:right w:val="single" w:color="auto" w:sz="4" w:space="0"/>
            </w:tcBorders>
            <w:noWrap w:val="0"/>
            <w:vAlign w:val="center"/>
          </w:tcPr>
          <w:p w14:paraId="15563DEB">
            <w:pPr>
              <w:rPr>
                <w:rFonts w:ascii="宋体" w:hAnsi="宋体" w:cs="宋体"/>
                <w:sz w:val="20"/>
                <w:szCs w:val="20"/>
              </w:rPr>
            </w:pPr>
          </w:p>
        </w:tc>
        <w:tc>
          <w:tcPr>
            <w:tcW w:w="840" w:type="dxa"/>
            <w:vMerge w:val="continue"/>
            <w:tcBorders>
              <w:left w:val="nil"/>
              <w:bottom w:val="single" w:color="auto" w:sz="4" w:space="0"/>
              <w:right w:val="single" w:color="auto" w:sz="4" w:space="0"/>
            </w:tcBorders>
            <w:noWrap w:val="0"/>
            <w:vAlign w:val="center"/>
          </w:tcPr>
          <w:p w14:paraId="7DC0DB53">
            <w:pPr>
              <w:rPr>
                <w:rFonts w:ascii="宋体" w:hAnsi="宋体" w:cs="宋体"/>
                <w:sz w:val="20"/>
                <w:szCs w:val="20"/>
              </w:rPr>
            </w:pPr>
          </w:p>
        </w:tc>
        <w:tc>
          <w:tcPr>
            <w:tcW w:w="840" w:type="dxa"/>
            <w:vMerge w:val="continue"/>
            <w:tcBorders>
              <w:left w:val="nil"/>
              <w:bottom w:val="single" w:color="auto" w:sz="4" w:space="0"/>
              <w:right w:val="single" w:color="auto" w:sz="4" w:space="0"/>
            </w:tcBorders>
            <w:noWrap w:val="0"/>
            <w:vAlign w:val="center"/>
          </w:tcPr>
          <w:p w14:paraId="66DA16C5">
            <w:pPr>
              <w:rPr>
                <w:rFonts w:ascii="宋体" w:hAnsi="宋体" w:cs="宋体"/>
                <w:sz w:val="20"/>
                <w:szCs w:val="20"/>
              </w:rPr>
            </w:pPr>
          </w:p>
        </w:tc>
      </w:tr>
      <w:tr w14:paraId="409589DA">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11CF8448">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noWrap w:val="0"/>
            <w:vAlign w:val="center"/>
          </w:tcPr>
          <w:p w14:paraId="5C0736DC">
            <w:pPr>
              <w:rPr>
                <w:rFonts w:ascii="宋体" w:hAnsi="宋体" w:cs="宋体"/>
                <w:sz w:val="20"/>
                <w:szCs w:val="20"/>
              </w:rPr>
            </w:pPr>
          </w:p>
        </w:tc>
        <w:tc>
          <w:tcPr>
            <w:tcW w:w="940" w:type="dxa"/>
            <w:tcBorders>
              <w:top w:val="nil"/>
              <w:left w:val="single" w:color="auto" w:sz="4" w:space="0"/>
              <w:bottom w:val="single" w:color="000000" w:sz="4" w:space="0"/>
              <w:right w:val="single" w:color="auto" w:sz="4" w:space="0"/>
            </w:tcBorders>
            <w:noWrap w:val="0"/>
            <w:vAlign w:val="center"/>
          </w:tcPr>
          <w:p w14:paraId="6DD14D39">
            <w:pPr>
              <w:jc w:val="center"/>
              <w:rPr>
                <w:rFonts w:hint="eastAsia" w:eastAsia="宋体"/>
                <w:sz w:val="20"/>
                <w:szCs w:val="20"/>
                <w:lang w:eastAsia="zh-CN"/>
              </w:rPr>
            </w:pPr>
            <w:r>
              <w:rPr>
                <w:rFonts w:hint="eastAsia"/>
                <w:sz w:val="20"/>
                <w:szCs w:val="20"/>
              </w:rPr>
              <w:t>可持续影响</w:t>
            </w:r>
          </w:p>
          <w:p w14:paraId="43ABE0D9">
            <w:pPr>
              <w:jc w:val="center"/>
              <w:rPr>
                <w:rFonts w:ascii="宋体" w:hAnsi="宋体" w:cs="宋体"/>
                <w:sz w:val="20"/>
                <w:szCs w:val="20"/>
              </w:rPr>
            </w:pPr>
            <w:r>
              <w:rPr>
                <w:rFonts w:hint="eastAsia"/>
                <w:sz w:val="20"/>
                <w:szCs w:val="20"/>
              </w:rPr>
              <w:t>指标</w:t>
            </w:r>
          </w:p>
        </w:tc>
        <w:tc>
          <w:tcPr>
            <w:tcW w:w="1523" w:type="dxa"/>
            <w:tcBorders>
              <w:top w:val="nil"/>
              <w:left w:val="nil"/>
              <w:bottom w:val="single" w:color="auto" w:sz="4" w:space="0"/>
              <w:right w:val="single" w:color="auto" w:sz="4" w:space="0"/>
            </w:tcBorders>
            <w:noWrap w:val="0"/>
            <w:vAlign w:val="center"/>
          </w:tcPr>
          <w:p w14:paraId="66879D43">
            <w:pPr>
              <w:rPr>
                <w:rFonts w:ascii="宋体" w:hAnsi="宋体" w:cs="宋体"/>
                <w:sz w:val="20"/>
                <w:szCs w:val="20"/>
              </w:rPr>
            </w:pPr>
            <w:r>
              <w:rPr>
                <w:rFonts w:hint="eastAsia"/>
                <w:sz w:val="20"/>
                <w:szCs w:val="20"/>
              </w:rPr>
              <w:t xml:space="preserve"> 指标1：提升法治</w:t>
            </w:r>
            <w:r>
              <w:rPr>
                <w:rFonts w:hint="eastAsia"/>
                <w:sz w:val="20"/>
                <w:szCs w:val="20"/>
                <w:lang w:val="en-US" w:eastAsia="zh-CN"/>
              </w:rPr>
              <w:t>建设</w:t>
            </w:r>
            <w:r>
              <w:rPr>
                <w:rFonts w:hint="eastAsia"/>
                <w:sz w:val="20"/>
                <w:szCs w:val="20"/>
              </w:rPr>
              <w:t>影响力</w:t>
            </w:r>
          </w:p>
        </w:tc>
        <w:tc>
          <w:tcPr>
            <w:tcW w:w="1200" w:type="dxa"/>
            <w:tcBorders>
              <w:top w:val="nil"/>
              <w:left w:val="nil"/>
              <w:bottom w:val="single" w:color="auto" w:sz="4" w:space="0"/>
              <w:right w:val="single" w:color="auto" w:sz="4" w:space="0"/>
            </w:tcBorders>
            <w:noWrap w:val="0"/>
            <w:vAlign w:val="center"/>
          </w:tcPr>
          <w:p w14:paraId="3B21EA93">
            <w:pPr>
              <w:rPr>
                <w:rFonts w:hint="eastAsia" w:ascii="宋体" w:hAnsi="宋体" w:eastAsia="宋体" w:cs="宋体"/>
                <w:sz w:val="20"/>
                <w:szCs w:val="20"/>
                <w:lang w:eastAsia="zh-CN"/>
              </w:rPr>
            </w:pPr>
            <w:r>
              <w:rPr>
                <w:rFonts w:hint="eastAsia" w:ascii="宋体" w:hAnsi="宋体"/>
                <w:sz w:val="20"/>
                <w:szCs w:val="20"/>
                <w:lang w:val="en-US" w:eastAsia="zh-CN"/>
              </w:rPr>
              <w:t>较高</w:t>
            </w:r>
          </w:p>
        </w:tc>
        <w:tc>
          <w:tcPr>
            <w:tcW w:w="928" w:type="dxa"/>
            <w:tcBorders>
              <w:top w:val="nil"/>
              <w:left w:val="nil"/>
              <w:bottom w:val="single" w:color="auto" w:sz="4" w:space="0"/>
              <w:right w:val="single" w:color="auto" w:sz="4" w:space="0"/>
            </w:tcBorders>
            <w:noWrap w:val="0"/>
            <w:vAlign w:val="center"/>
          </w:tcPr>
          <w:p w14:paraId="0978671E">
            <w:pPr>
              <w:rPr>
                <w:rFonts w:hint="eastAsia" w:ascii="宋体" w:hAnsi="宋体" w:eastAsia="宋体" w:cs="宋体"/>
                <w:kern w:val="2"/>
                <w:sz w:val="20"/>
                <w:szCs w:val="20"/>
                <w:lang w:val="en-US" w:eastAsia="zh-CN" w:bidi="ar-SA"/>
              </w:rPr>
            </w:pPr>
            <w:r>
              <w:rPr>
                <w:rFonts w:hint="eastAsia" w:ascii="宋体" w:hAnsi="宋体"/>
                <w:sz w:val="20"/>
                <w:szCs w:val="20"/>
                <w:lang w:val="en-US" w:eastAsia="zh-CN"/>
              </w:rPr>
              <w:t>较高</w:t>
            </w:r>
          </w:p>
        </w:tc>
        <w:tc>
          <w:tcPr>
            <w:tcW w:w="677" w:type="dxa"/>
            <w:tcBorders>
              <w:top w:val="nil"/>
              <w:left w:val="single" w:color="auto" w:sz="4" w:space="0"/>
              <w:bottom w:val="single" w:color="000000" w:sz="4" w:space="0"/>
              <w:right w:val="single" w:color="auto" w:sz="4" w:space="0"/>
            </w:tcBorders>
            <w:noWrap w:val="0"/>
            <w:vAlign w:val="center"/>
          </w:tcPr>
          <w:p w14:paraId="7C519982">
            <w:pPr>
              <w:jc w:val="center"/>
              <w:rPr>
                <w:sz w:val="20"/>
                <w:szCs w:val="20"/>
              </w:rPr>
            </w:pPr>
            <w:r>
              <w:rPr>
                <w:rFonts w:hint="eastAsia"/>
                <w:sz w:val="20"/>
                <w:szCs w:val="20"/>
              </w:rPr>
              <w:t>可持续</w:t>
            </w:r>
          </w:p>
          <w:p w14:paraId="5125193B">
            <w:pPr>
              <w:jc w:val="center"/>
              <w:rPr>
                <w:sz w:val="20"/>
                <w:szCs w:val="20"/>
              </w:rPr>
            </w:pPr>
            <w:r>
              <w:rPr>
                <w:rFonts w:hint="eastAsia"/>
                <w:sz w:val="20"/>
                <w:szCs w:val="20"/>
              </w:rPr>
              <w:t>影响</w:t>
            </w:r>
          </w:p>
          <w:p w14:paraId="26D95FD0">
            <w:pPr>
              <w:jc w:val="center"/>
              <w:rPr>
                <w:rFonts w:ascii="宋体" w:hAnsi="宋体" w:cs="宋体"/>
                <w:sz w:val="20"/>
                <w:szCs w:val="20"/>
              </w:rPr>
            </w:pPr>
            <w:r>
              <w:rPr>
                <w:rFonts w:hint="eastAsia"/>
                <w:sz w:val="20"/>
                <w:szCs w:val="20"/>
              </w:rPr>
              <w:t>指标</w:t>
            </w:r>
          </w:p>
        </w:tc>
        <w:tc>
          <w:tcPr>
            <w:tcW w:w="1140" w:type="dxa"/>
            <w:tcBorders>
              <w:top w:val="single" w:color="auto" w:sz="4" w:space="0"/>
              <w:left w:val="nil"/>
              <w:bottom w:val="single" w:color="auto" w:sz="4" w:space="0"/>
              <w:right w:val="single" w:color="auto" w:sz="4" w:space="0"/>
            </w:tcBorders>
            <w:noWrap w:val="0"/>
            <w:vAlign w:val="center"/>
          </w:tcPr>
          <w:p w14:paraId="2C552AA5">
            <w:pPr>
              <w:rPr>
                <w:rFonts w:ascii="宋体" w:hAnsi="宋体" w:cs="宋体"/>
                <w:kern w:val="2"/>
                <w:sz w:val="20"/>
                <w:szCs w:val="20"/>
                <w:lang w:val="en-US" w:eastAsia="zh-CN" w:bidi="ar-SA"/>
              </w:rPr>
            </w:pPr>
            <w:r>
              <w:rPr>
                <w:rFonts w:hint="eastAsia"/>
                <w:sz w:val="20"/>
                <w:szCs w:val="20"/>
              </w:rPr>
              <w:t xml:space="preserve"> 指标1：提升法治</w:t>
            </w:r>
            <w:r>
              <w:rPr>
                <w:rFonts w:hint="eastAsia"/>
                <w:sz w:val="20"/>
                <w:szCs w:val="20"/>
                <w:lang w:val="en-US" w:eastAsia="zh-CN"/>
              </w:rPr>
              <w:t>建设</w:t>
            </w:r>
            <w:r>
              <w:rPr>
                <w:rFonts w:hint="eastAsia"/>
                <w:sz w:val="20"/>
                <w:szCs w:val="20"/>
              </w:rPr>
              <w:t>影响力</w:t>
            </w:r>
          </w:p>
        </w:tc>
        <w:tc>
          <w:tcPr>
            <w:tcW w:w="840" w:type="dxa"/>
            <w:tcBorders>
              <w:top w:val="nil"/>
              <w:left w:val="nil"/>
              <w:bottom w:val="single" w:color="auto" w:sz="4" w:space="0"/>
              <w:right w:val="single" w:color="auto" w:sz="4" w:space="0"/>
            </w:tcBorders>
            <w:noWrap w:val="0"/>
            <w:vAlign w:val="center"/>
          </w:tcPr>
          <w:p w14:paraId="06857EC0">
            <w:pPr>
              <w:rPr>
                <w:rFonts w:hint="eastAsia" w:ascii="宋体" w:hAnsi="宋体" w:eastAsia="宋体" w:cs="宋体"/>
                <w:kern w:val="2"/>
                <w:sz w:val="20"/>
                <w:szCs w:val="20"/>
                <w:lang w:val="en-US" w:eastAsia="zh-CN" w:bidi="ar-SA"/>
              </w:rPr>
            </w:pPr>
            <w:r>
              <w:rPr>
                <w:rFonts w:hint="eastAsia" w:ascii="宋体" w:hAnsi="宋体"/>
                <w:sz w:val="20"/>
                <w:szCs w:val="20"/>
                <w:lang w:val="en-US" w:eastAsia="zh-CN"/>
              </w:rPr>
              <w:t>较高</w:t>
            </w:r>
          </w:p>
        </w:tc>
        <w:tc>
          <w:tcPr>
            <w:tcW w:w="840" w:type="dxa"/>
            <w:tcBorders>
              <w:top w:val="nil"/>
              <w:left w:val="nil"/>
              <w:bottom w:val="single" w:color="auto" w:sz="4" w:space="0"/>
              <w:right w:val="single" w:color="auto" w:sz="4" w:space="0"/>
            </w:tcBorders>
            <w:noWrap w:val="0"/>
            <w:vAlign w:val="center"/>
          </w:tcPr>
          <w:p w14:paraId="4A1A2E29">
            <w:pPr>
              <w:rPr>
                <w:rFonts w:hint="eastAsia" w:ascii="宋体" w:hAnsi="宋体" w:eastAsia="宋体" w:cs="宋体"/>
                <w:kern w:val="2"/>
                <w:sz w:val="20"/>
                <w:szCs w:val="20"/>
                <w:lang w:val="en-US" w:eastAsia="zh-CN" w:bidi="ar-SA"/>
              </w:rPr>
            </w:pPr>
            <w:r>
              <w:rPr>
                <w:rFonts w:hint="eastAsia" w:ascii="宋体" w:hAnsi="宋体"/>
                <w:sz w:val="20"/>
                <w:szCs w:val="20"/>
                <w:lang w:val="en-US" w:eastAsia="zh-CN"/>
              </w:rPr>
              <w:t>较高</w:t>
            </w:r>
          </w:p>
        </w:tc>
      </w:tr>
      <w:tr w14:paraId="1145149E">
        <w:tblPrEx>
          <w:tblCellMar>
            <w:top w:w="0" w:type="dxa"/>
            <w:left w:w="108" w:type="dxa"/>
            <w:bottom w:w="0" w:type="dxa"/>
            <w:right w:w="108" w:type="dxa"/>
          </w:tblCellMar>
        </w:tblPrEx>
        <w:trPr>
          <w:trHeight w:val="2059" w:hRule="atLeast"/>
        </w:trPr>
        <w:tc>
          <w:tcPr>
            <w:tcW w:w="416" w:type="dxa"/>
            <w:vMerge w:val="continue"/>
            <w:tcBorders>
              <w:top w:val="nil"/>
              <w:left w:val="single" w:color="auto" w:sz="4" w:space="0"/>
              <w:bottom w:val="single" w:color="000000" w:sz="4" w:space="0"/>
              <w:right w:val="single" w:color="auto" w:sz="4" w:space="0"/>
            </w:tcBorders>
            <w:noWrap w:val="0"/>
            <w:vAlign w:val="center"/>
          </w:tcPr>
          <w:p w14:paraId="1927C976">
            <w:pPr>
              <w:rPr>
                <w:rFonts w:ascii="宋体" w:hAnsi="宋体" w:cs="宋体"/>
                <w:sz w:val="20"/>
                <w:szCs w:val="20"/>
              </w:rPr>
            </w:pPr>
          </w:p>
        </w:tc>
        <w:tc>
          <w:tcPr>
            <w:tcW w:w="820" w:type="dxa"/>
            <w:tcBorders>
              <w:top w:val="nil"/>
              <w:left w:val="single" w:color="auto" w:sz="4" w:space="0"/>
              <w:bottom w:val="single" w:color="000000" w:sz="4" w:space="0"/>
              <w:right w:val="single" w:color="auto" w:sz="4" w:space="0"/>
            </w:tcBorders>
            <w:noWrap w:val="0"/>
            <w:vAlign w:val="center"/>
          </w:tcPr>
          <w:p w14:paraId="63D210EE">
            <w:pPr>
              <w:jc w:val="center"/>
              <w:rPr>
                <w:rFonts w:ascii="宋体" w:hAnsi="宋体" w:cs="宋体"/>
                <w:sz w:val="20"/>
                <w:szCs w:val="20"/>
              </w:rPr>
            </w:pPr>
            <w:r>
              <w:rPr>
                <w:rFonts w:hint="eastAsia"/>
                <w:sz w:val="20"/>
                <w:szCs w:val="20"/>
              </w:rPr>
              <w:t>满意度指标</w:t>
            </w:r>
          </w:p>
        </w:tc>
        <w:tc>
          <w:tcPr>
            <w:tcW w:w="940" w:type="dxa"/>
            <w:tcBorders>
              <w:top w:val="single" w:color="auto" w:sz="4" w:space="0"/>
              <w:left w:val="single" w:color="auto" w:sz="4" w:space="0"/>
              <w:bottom w:val="single" w:color="auto" w:sz="4" w:space="0"/>
              <w:right w:val="single" w:color="auto" w:sz="4" w:space="0"/>
            </w:tcBorders>
            <w:noWrap w:val="0"/>
            <w:vAlign w:val="center"/>
          </w:tcPr>
          <w:p w14:paraId="27ADDD5B">
            <w:pPr>
              <w:jc w:val="center"/>
              <w:rPr>
                <w:rFonts w:hint="eastAsia"/>
                <w:sz w:val="20"/>
                <w:szCs w:val="20"/>
              </w:rPr>
            </w:pPr>
            <w:r>
              <w:rPr>
                <w:rFonts w:hint="eastAsia"/>
                <w:sz w:val="20"/>
                <w:szCs w:val="20"/>
              </w:rPr>
              <w:t>服务对象满意度指标</w:t>
            </w:r>
          </w:p>
          <w:p w14:paraId="3DB1FDDA">
            <w:pPr>
              <w:jc w:val="center"/>
              <w:rPr>
                <w:rFonts w:ascii="宋体" w:hAnsi="宋体" w:cs="宋体"/>
                <w:sz w:val="20"/>
                <w:szCs w:val="20"/>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14:paraId="777D074E">
            <w:pPr>
              <w:rPr>
                <w:rFonts w:hint="eastAsia"/>
                <w:sz w:val="20"/>
                <w:szCs w:val="20"/>
              </w:rPr>
            </w:pPr>
            <w:r>
              <w:rPr>
                <w:rFonts w:hint="eastAsia"/>
                <w:sz w:val="20"/>
                <w:szCs w:val="20"/>
              </w:rPr>
              <w:t xml:space="preserve"> 指标1：项目预期服务对象对项目实施的满意程度</w:t>
            </w:r>
          </w:p>
          <w:p w14:paraId="05E63AAE">
            <w:pPr>
              <w:rPr>
                <w:rFonts w:ascii="宋体" w:hAnsi="宋体" w:cs="宋体"/>
                <w:sz w:val="20"/>
                <w:szCs w:val="20"/>
              </w:rPr>
            </w:pPr>
            <w:r>
              <w:rPr>
                <w:rFonts w:hint="eastAsia"/>
                <w:sz w:val="20"/>
                <w:szCs w:val="20"/>
              </w:rPr>
              <w:t>　</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817AD65">
            <w:pPr>
              <w:jc w:val="center"/>
              <w:rPr>
                <w:rFonts w:ascii="宋体" w:hAnsi="宋体" w:cs="宋体"/>
                <w:sz w:val="20"/>
                <w:szCs w:val="20"/>
              </w:rPr>
            </w:pPr>
            <w:r>
              <w:rPr>
                <w:rFonts w:hint="eastAsia" w:ascii="宋体" w:hAnsi="宋体" w:cs="宋体"/>
                <w:color w:val="000000"/>
                <w:kern w:val="0"/>
                <w:sz w:val="18"/>
                <w:szCs w:val="18"/>
              </w:rPr>
              <w:t>保障公民在遇到法律问题或者合法权益受到侵害时获得及时有效的法律帮助</w:t>
            </w:r>
            <w:r>
              <w:rPr>
                <w:rFonts w:hint="eastAsia"/>
                <w:sz w:val="20"/>
                <w:szCs w:val="20"/>
              </w:rPr>
              <w:t>　</w:t>
            </w:r>
          </w:p>
          <w:p w14:paraId="6AC09CA8">
            <w:pPr>
              <w:jc w:val="center"/>
              <w:rPr>
                <w:rFonts w:ascii="宋体" w:hAnsi="宋体" w:cs="宋体"/>
                <w:sz w:val="20"/>
                <w:szCs w:val="20"/>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55CC25AB">
            <w:pPr>
              <w:jc w:val="center"/>
              <w:rPr>
                <w:rFonts w:ascii="宋体" w:hAnsi="宋体" w:cs="宋体"/>
                <w:sz w:val="20"/>
                <w:szCs w:val="20"/>
              </w:rPr>
            </w:pPr>
            <w:r>
              <w:rPr>
                <w:rFonts w:hint="eastAsia" w:ascii="宋体" w:hAnsi="宋体" w:cs="宋体"/>
                <w:color w:val="000000"/>
                <w:kern w:val="0"/>
                <w:sz w:val="18"/>
                <w:szCs w:val="18"/>
              </w:rPr>
              <w:t>保障公民在遇到法律问题或者合法权益受到侵害时获得及时有效的法律帮助</w:t>
            </w:r>
            <w:r>
              <w:rPr>
                <w:rFonts w:hint="eastAsia"/>
                <w:sz w:val="20"/>
                <w:szCs w:val="20"/>
              </w:rPr>
              <w:t>　</w:t>
            </w:r>
          </w:p>
          <w:p w14:paraId="332D105A">
            <w:pPr>
              <w:jc w:val="center"/>
              <w:rPr>
                <w:rFonts w:ascii="宋体" w:hAnsi="宋体" w:cs="宋体"/>
                <w:kern w:val="2"/>
                <w:sz w:val="20"/>
                <w:szCs w:val="20"/>
                <w:lang w:val="en-US" w:eastAsia="zh-CN" w:bidi="ar-SA"/>
              </w:rPr>
            </w:pPr>
          </w:p>
        </w:tc>
        <w:tc>
          <w:tcPr>
            <w:tcW w:w="677" w:type="dxa"/>
            <w:tcBorders>
              <w:top w:val="single" w:color="auto" w:sz="4" w:space="0"/>
              <w:left w:val="single" w:color="auto" w:sz="4" w:space="0"/>
              <w:bottom w:val="single" w:color="auto" w:sz="4" w:space="0"/>
              <w:right w:val="single" w:color="auto" w:sz="4" w:space="0"/>
            </w:tcBorders>
            <w:noWrap w:val="0"/>
            <w:vAlign w:val="center"/>
          </w:tcPr>
          <w:p w14:paraId="0C0E845B">
            <w:pPr>
              <w:jc w:val="center"/>
              <w:rPr>
                <w:sz w:val="20"/>
                <w:szCs w:val="20"/>
              </w:rPr>
            </w:pPr>
            <w:r>
              <w:rPr>
                <w:rFonts w:hint="eastAsia"/>
                <w:sz w:val="20"/>
                <w:szCs w:val="20"/>
              </w:rPr>
              <w:t>服务对</w:t>
            </w:r>
          </w:p>
          <w:p w14:paraId="244BCC31">
            <w:pPr>
              <w:jc w:val="center"/>
              <w:rPr>
                <w:sz w:val="20"/>
                <w:szCs w:val="20"/>
              </w:rPr>
            </w:pPr>
            <w:r>
              <w:rPr>
                <w:rFonts w:hint="eastAsia"/>
                <w:sz w:val="20"/>
                <w:szCs w:val="20"/>
              </w:rPr>
              <w:t>象满意</w:t>
            </w:r>
          </w:p>
          <w:p w14:paraId="7A5E2784">
            <w:pPr>
              <w:jc w:val="center"/>
              <w:rPr>
                <w:rFonts w:hint="eastAsia"/>
                <w:sz w:val="20"/>
                <w:szCs w:val="20"/>
              </w:rPr>
            </w:pPr>
            <w:r>
              <w:rPr>
                <w:rFonts w:hint="eastAsia"/>
                <w:sz w:val="20"/>
                <w:szCs w:val="20"/>
              </w:rPr>
              <w:t>度指标</w:t>
            </w:r>
          </w:p>
          <w:p w14:paraId="7BBF8F5F">
            <w:pPr>
              <w:jc w:val="center"/>
              <w:rPr>
                <w:rFonts w:ascii="宋体" w:hAnsi="宋体" w:cs="宋体"/>
                <w:sz w:val="20"/>
                <w:szCs w:val="20"/>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1145739">
            <w:pPr>
              <w:rPr>
                <w:rFonts w:hint="eastAsia"/>
                <w:sz w:val="20"/>
                <w:szCs w:val="20"/>
              </w:rPr>
            </w:pPr>
            <w:r>
              <w:rPr>
                <w:rFonts w:hint="eastAsia"/>
                <w:sz w:val="20"/>
                <w:szCs w:val="20"/>
              </w:rPr>
              <w:t xml:space="preserve"> 指标1：项目预期服务对象对项目实施的满意程度</w:t>
            </w:r>
          </w:p>
          <w:p w14:paraId="17F23638">
            <w:pPr>
              <w:rPr>
                <w:rFonts w:ascii="宋体" w:hAnsi="宋体" w:cs="宋体"/>
                <w:kern w:val="2"/>
                <w:sz w:val="20"/>
                <w:szCs w:val="20"/>
                <w:lang w:val="en-US" w:eastAsia="zh-CN" w:bidi="ar-SA"/>
              </w:rPr>
            </w:pPr>
            <w:r>
              <w:rPr>
                <w:rFonts w:hint="eastAsia"/>
                <w:sz w:val="20"/>
                <w:szCs w:val="20"/>
              </w:rPr>
              <w:t>　</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20D1F950">
            <w:pPr>
              <w:jc w:val="center"/>
              <w:rPr>
                <w:rFonts w:ascii="宋体" w:hAnsi="宋体" w:cs="宋体"/>
                <w:sz w:val="20"/>
                <w:szCs w:val="20"/>
              </w:rPr>
            </w:pPr>
            <w:r>
              <w:rPr>
                <w:rFonts w:hint="eastAsia" w:ascii="宋体" w:hAnsi="宋体" w:cs="宋体"/>
                <w:color w:val="000000"/>
                <w:kern w:val="0"/>
                <w:sz w:val="18"/>
                <w:szCs w:val="18"/>
              </w:rPr>
              <w:t>保障公民在遇到法律问题或者合法权益受到侵害时获得及时有效的法律帮助</w:t>
            </w:r>
            <w:r>
              <w:rPr>
                <w:rFonts w:hint="eastAsia"/>
                <w:sz w:val="20"/>
                <w:szCs w:val="20"/>
              </w:rPr>
              <w:t>　</w:t>
            </w:r>
          </w:p>
          <w:p w14:paraId="5DAC577E">
            <w:pPr>
              <w:jc w:val="center"/>
              <w:rPr>
                <w:rFonts w:ascii="宋体" w:hAnsi="宋体" w:cs="宋体"/>
                <w:kern w:val="2"/>
                <w:sz w:val="20"/>
                <w:szCs w:val="20"/>
                <w:lang w:val="en-US" w:eastAsia="zh-CN" w:bidi="ar-SA"/>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41D6EB5C">
            <w:pPr>
              <w:jc w:val="center"/>
              <w:rPr>
                <w:rFonts w:ascii="宋体" w:hAnsi="宋体" w:cs="宋体"/>
                <w:sz w:val="20"/>
                <w:szCs w:val="20"/>
              </w:rPr>
            </w:pPr>
            <w:r>
              <w:rPr>
                <w:rFonts w:hint="eastAsia" w:ascii="宋体" w:hAnsi="宋体" w:cs="宋体"/>
                <w:color w:val="000000"/>
                <w:kern w:val="0"/>
                <w:sz w:val="18"/>
                <w:szCs w:val="18"/>
              </w:rPr>
              <w:t>保障公民在遇到法律问题或者合法权益受到侵害时获得及时有效的法律帮助</w:t>
            </w:r>
            <w:r>
              <w:rPr>
                <w:rFonts w:hint="eastAsia"/>
                <w:sz w:val="20"/>
                <w:szCs w:val="20"/>
              </w:rPr>
              <w:t>　</w:t>
            </w:r>
          </w:p>
          <w:p w14:paraId="7AD3BE43">
            <w:pPr>
              <w:jc w:val="center"/>
              <w:rPr>
                <w:rFonts w:ascii="宋体" w:hAnsi="宋体" w:cs="宋体"/>
                <w:kern w:val="2"/>
                <w:sz w:val="20"/>
                <w:szCs w:val="20"/>
                <w:lang w:val="en-US" w:eastAsia="zh-CN" w:bidi="ar-SA"/>
              </w:rPr>
            </w:pPr>
          </w:p>
        </w:tc>
      </w:tr>
    </w:tbl>
    <w:p w14:paraId="7C1591D7">
      <w:pPr>
        <w:keepNext w:val="0"/>
        <w:keepLines w:val="0"/>
        <w:pageBreakBefore w:val="0"/>
        <w:widowControl w:val="0"/>
        <w:kinsoku/>
        <w:wordWrap/>
        <w:overflowPunct/>
        <w:topLinePunct w:val="0"/>
        <w:autoSpaceDE/>
        <w:autoSpaceDN/>
        <w:bidi w:val="0"/>
        <w:adjustRightInd/>
        <w:snapToGrid/>
        <w:spacing w:line="240" w:lineRule="auto"/>
        <w:ind w:left="638" w:leftChars="304" w:firstLine="0" w:firstLineChars="0"/>
        <w:textAlignment w:val="auto"/>
        <w:rPr>
          <w:rFonts w:hint="eastAsia" w:ascii="仿宋" w:hAnsi="仿宋" w:eastAsia="仿宋"/>
          <w:color w:val="000000"/>
          <w:sz w:val="32"/>
          <w:szCs w:val="32"/>
          <w:lang w:val="en-US" w:eastAsia="zh-CN"/>
        </w:rPr>
      </w:pPr>
    </w:p>
    <w:p w14:paraId="512FC742">
      <w:pPr>
        <w:adjustRightInd w:val="0"/>
        <w:snapToGrid w:val="0"/>
        <w:spacing w:line="580" w:lineRule="exact"/>
        <w:ind w:firstLine="643" w:firstLineChars="200"/>
        <w:rPr>
          <w:rFonts w:hint="eastAsia" w:ascii="仿宋" w:hAnsi="仿宋" w:eastAsia="仿宋_GB2312" w:cs="TimesNewRoman"/>
          <w:b/>
          <w:sz w:val="32"/>
          <w:szCs w:val="32"/>
        </w:rPr>
      </w:pPr>
    </w:p>
    <w:p w14:paraId="549FE0C0">
      <w:pPr>
        <w:adjustRightInd w:val="0"/>
        <w:snapToGrid w:val="0"/>
        <w:spacing w:line="580" w:lineRule="exact"/>
        <w:ind w:firstLine="643" w:firstLineChars="200"/>
        <w:rPr>
          <w:rFonts w:ascii="TimesNewRoman" w:hAnsi="TimesNewRoman" w:eastAsia="仿宋_GB2312" w:cs="TimesNewRoman"/>
          <w:b/>
          <w:sz w:val="32"/>
          <w:szCs w:val="32"/>
        </w:rPr>
      </w:pPr>
      <w:r>
        <w:rPr>
          <w:rFonts w:hint="eastAsia" w:ascii="TimesNewRoman" w:hAnsi="TimesNewRoman" w:eastAsia="仿宋_GB2312" w:cs="TimesNewRoman"/>
          <w:b/>
          <w:sz w:val="32"/>
          <w:szCs w:val="32"/>
        </w:rPr>
        <w:t>（二）机关运行经费。</w:t>
      </w:r>
    </w:p>
    <w:p w14:paraId="7F99E4C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eastAsia="zh-CN"/>
        </w:rPr>
        <w:t>淮北市司法局</w:t>
      </w:r>
      <w:r>
        <w:rPr>
          <w:rFonts w:hint="eastAsia" w:ascii="TimesNewRoman" w:hAnsi="TimesNewRoman" w:eastAsia="仿宋_GB2312" w:cs="TimesNewRoman"/>
          <w:kern w:val="0"/>
          <w:sz w:val="32"/>
          <w:szCs w:val="32"/>
        </w:rPr>
        <w:t>2025年机关运行经费财政拨款预算</w:t>
      </w:r>
      <w:r>
        <w:rPr>
          <w:rFonts w:hint="eastAsia" w:ascii="TimesNewRoman" w:hAnsi="TimesNewRoman" w:eastAsia="仿宋_GB2312" w:cs="TimesNewRoman"/>
          <w:kern w:val="0"/>
          <w:sz w:val="32"/>
          <w:szCs w:val="32"/>
          <w:lang w:val="en-US" w:eastAsia="zh-CN"/>
        </w:rPr>
        <w:t>132.33</w:t>
      </w:r>
      <w:r>
        <w:rPr>
          <w:rFonts w:hint="eastAsia" w:ascii="TimesNewRoman" w:hAnsi="TimesNewRoman" w:eastAsia="仿宋_GB2312" w:cs="TimesNewRoman"/>
          <w:kern w:val="0"/>
          <w:sz w:val="32"/>
          <w:szCs w:val="32"/>
        </w:rPr>
        <w:t>万元，比2024年预算增加</w:t>
      </w:r>
      <w:r>
        <w:rPr>
          <w:rFonts w:hint="eastAsia" w:ascii="TimesNewRoman" w:hAnsi="TimesNewRoman" w:eastAsia="仿宋_GB2312" w:cs="TimesNewRoman"/>
          <w:kern w:val="0"/>
          <w:sz w:val="32"/>
          <w:szCs w:val="32"/>
          <w:lang w:val="en-US" w:eastAsia="zh-CN"/>
        </w:rPr>
        <w:t>8.54</w:t>
      </w:r>
      <w:r>
        <w:rPr>
          <w:rFonts w:hint="eastAsia" w:ascii="TimesNewRoman" w:hAnsi="TimesNewRoman" w:eastAsia="仿宋_GB2312" w:cs="TimesNewRoman"/>
          <w:kern w:val="0"/>
          <w:sz w:val="32"/>
          <w:szCs w:val="32"/>
        </w:rPr>
        <w:t>万元，增长</w:t>
      </w:r>
      <w:r>
        <w:rPr>
          <w:rFonts w:hint="eastAsia" w:ascii="TimesNewRoman" w:hAnsi="TimesNewRoman" w:eastAsia="仿宋_GB2312" w:cs="TimesNewRoman"/>
          <w:kern w:val="0"/>
          <w:sz w:val="32"/>
          <w:szCs w:val="32"/>
          <w:lang w:val="en-US" w:eastAsia="zh-CN"/>
        </w:rPr>
        <w:t>6.9</w:t>
      </w:r>
      <w:r>
        <w:rPr>
          <w:rFonts w:hint="eastAsia" w:ascii="TimesNewRoman" w:hAnsi="TimesNewRoman" w:eastAsia="仿宋_GB2312" w:cs="TimesNewRoman"/>
          <w:kern w:val="0"/>
          <w:sz w:val="32"/>
          <w:szCs w:val="32"/>
        </w:rPr>
        <w:t>%，原因主要是</w:t>
      </w:r>
      <w:r>
        <w:rPr>
          <w:rFonts w:hint="eastAsia" w:ascii="TimesNewRoman" w:hAnsi="TimesNewRoman" w:eastAsia="仿宋_GB2312" w:cs="TimesNewRoman"/>
          <w:kern w:val="0"/>
          <w:sz w:val="32"/>
          <w:szCs w:val="32"/>
          <w:lang w:val="en-US" w:eastAsia="zh-CN"/>
        </w:rPr>
        <w:t>日常运行经费随经济发展指数自然增长</w:t>
      </w:r>
      <w:r>
        <w:rPr>
          <w:rFonts w:hint="eastAsia" w:ascii="TimesNewRoman" w:hAnsi="TimesNewRoman" w:eastAsia="仿宋_GB2312" w:cs="TimesNewRoman"/>
          <w:kern w:val="0"/>
          <w:sz w:val="32"/>
          <w:szCs w:val="32"/>
        </w:rPr>
        <w:t>。</w:t>
      </w:r>
    </w:p>
    <w:p w14:paraId="4F864FE3">
      <w:pPr>
        <w:adjustRightInd w:val="0"/>
        <w:snapToGrid w:val="0"/>
        <w:spacing w:line="580" w:lineRule="exact"/>
        <w:ind w:firstLine="643" w:firstLineChars="200"/>
        <w:rPr>
          <w:rFonts w:ascii="TimesNewRoman" w:hAnsi="TimesNewRoman" w:eastAsia="仿宋_GB2312" w:cs="TimesNewRoman"/>
          <w:b/>
          <w:sz w:val="32"/>
          <w:szCs w:val="32"/>
        </w:rPr>
      </w:pPr>
      <w:r>
        <w:rPr>
          <w:rFonts w:hint="eastAsia" w:ascii="TimesNewRoman" w:hAnsi="TimesNewRoman" w:eastAsia="仿宋_GB2312" w:cs="TimesNewRoman"/>
          <w:b/>
          <w:sz w:val="32"/>
          <w:szCs w:val="32"/>
        </w:rPr>
        <w:t>（三）政府采购情况。</w:t>
      </w:r>
    </w:p>
    <w:p w14:paraId="3AF05D55">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eastAsia="zh-CN"/>
        </w:rPr>
        <w:t>淮北市司法局</w:t>
      </w:r>
      <w:r>
        <w:rPr>
          <w:rFonts w:hint="eastAsia" w:ascii="TimesNewRoman" w:hAnsi="TimesNewRoman" w:eastAsia="仿宋_GB2312" w:cs="TimesNewRoman"/>
          <w:kern w:val="0"/>
          <w:sz w:val="32"/>
          <w:szCs w:val="32"/>
        </w:rPr>
        <w:t>2025年政府采购预算</w:t>
      </w:r>
      <w:r>
        <w:rPr>
          <w:rFonts w:hint="eastAsia" w:ascii="TimesNewRoman" w:hAnsi="TimesNewRoman" w:eastAsia="仿宋_GB2312" w:cs="TimesNewRoman"/>
          <w:kern w:val="0"/>
          <w:sz w:val="32"/>
          <w:szCs w:val="32"/>
          <w:lang w:val="en-US" w:eastAsia="zh-CN"/>
        </w:rPr>
        <w:t>3.05</w:t>
      </w:r>
      <w:r>
        <w:rPr>
          <w:rFonts w:hint="eastAsia" w:ascii="TimesNewRoman" w:hAnsi="TimesNewRoman" w:eastAsia="仿宋_GB2312" w:cs="TimesNewRoman"/>
          <w:kern w:val="0"/>
          <w:sz w:val="32"/>
          <w:szCs w:val="32"/>
        </w:rPr>
        <w:t>万元。其中：政府采购货物预算</w:t>
      </w:r>
      <w:r>
        <w:rPr>
          <w:rFonts w:hint="eastAsia" w:ascii="TimesNewRoman" w:hAnsi="TimesNewRoman" w:eastAsia="仿宋_GB2312" w:cs="TimesNewRoman"/>
          <w:kern w:val="0"/>
          <w:sz w:val="32"/>
          <w:szCs w:val="32"/>
          <w:lang w:val="en-US" w:eastAsia="zh-CN"/>
        </w:rPr>
        <w:t>3.05</w:t>
      </w:r>
      <w:r>
        <w:rPr>
          <w:rFonts w:hint="eastAsia" w:ascii="TimesNewRoman" w:hAnsi="TimesNewRoman" w:eastAsia="仿宋_GB2312" w:cs="TimesNewRoman"/>
          <w:kern w:val="0"/>
          <w:sz w:val="32"/>
          <w:szCs w:val="32"/>
        </w:rPr>
        <w:t>万元，政府采购工程预算</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万元，政府采购服务预算</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万元。</w:t>
      </w:r>
    </w:p>
    <w:p w14:paraId="56D5D0FD">
      <w:pPr>
        <w:adjustRightInd w:val="0"/>
        <w:snapToGrid w:val="0"/>
        <w:spacing w:line="580" w:lineRule="exact"/>
        <w:ind w:firstLine="643" w:firstLineChars="200"/>
        <w:rPr>
          <w:rFonts w:ascii="TimesNewRoman" w:hAnsi="TimesNewRoman" w:eastAsia="仿宋_GB2312" w:cs="TimesNewRoman"/>
          <w:b/>
          <w:sz w:val="32"/>
          <w:szCs w:val="32"/>
        </w:rPr>
      </w:pPr>
      <w:r>
        <w:rPr>
          <w:rFonts w:hint="eastAsia" w:ascii="TimesNewRoman" w:hAnsi="TimesNewRoman" w:eastAsia="仿宋_GB2312" w:cs="TimesNewRoman"/>
          <w:b/>
          <w:sz w:val="32"/>
          <w:szCs w:val="32"/>
        </w:rPr>
        <w:t>（四）国有资产占有使用情况。</w:t>
      </w:r>
    </w:p>
    <w:p w14:paraId="2493736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截至2024年12月31日，</w:t>
      </w:r>
      <w:r>
        <w:rPr>
          <w:rFonts w:hint="eastAsia" w:ascii="TimesNewRoman" w:hAnsi="TimesNewRoman" w:eastAsia="仿宋_GB2312" w:cs="TimesNewRoman"/>
          <w:kern w:val="0"/>
          <w:sz w:val="32"/>
          <w:szCs w:val="32"/>
          <w:lang w:eastAsia="zh-CN"/>
        </w:rPr>
        <w:t>淮北市司法局</w:t>
      </w:r>
      <w:r>
        <w:rPr>
          <w:rFonts w:hint="eastAsia" w:ascii="TimesNewRoman" w:hAnsi="TimesNewRoman" w:eastAsia="仿宋_GB2312" w:cs="TimesNewRoman"/>
          <w:kern w:val="0"/>
          <w:sz w:val="32"/>
          <w:szCs w:val="32"/>
        </w:rPr>
        <w:t>共有车辆</w:t>
      </w:r>
      <w:r>
        <w:rPr>
          <w:rFonts w:hint="eastAsia" w:ascii="TimesNewRoman" w:hAnsi="TimesNewRoman" w:eastAsia="仿宋_GB2312" w:cs="TimesNewRoman"/>
          <w:kern w:val="0"/>
          <w:sz w:val="32"/>
          <w:szCs w:val="32"/>
          <w:lang w:val="en-US" w:eastAsia="zh-CN"/>
        </w:rPr>
        <w:t>2</w:t>
      </w:r>
      <w:r>
        <w:rPr>
          <w:rFonts w:hint="eastAsia" w:ascii="TimesNewRoman" w:hAnsi="TimesNewRoman" w:eastAsia="仿宋_GB2312" w:cs="TimesNewRoman"/>
          <w:kern w:val="0"/>
          <w:sz w:val="32"/>
          <w:szCs w:val="32"/>
        </w:rPr>
        <w:t>辆，其中：执法执勤用车</w:t>
      </w:r>
      <w:r>
        <w:rPr>
          <w:rFonts w:hint="eastAsia" w:ascii="TimesNewRoman" w:hAnsi="TimesNewRoman" w:eastAsia="仿宋_GB2312" w:cs="TimesNewRoman"/>
          <w:kern w:val="0"/>
          <w:sz w:val="32"/>
          <w:szCs w:val="32"/>
          <w:lang w:val="en-US" w:eastAsia="zh-CN"/>
        </w:rPr>
        <w:t>1</w:t>
      </w:r>
      <w:r>
        <w:rPr>
          <w:rFonts w:hint="eastAsia" w:ascii="TimesNewRoman" w:hAnsi="TimesNewRoman" w:eastAsia="仿宋_GB2312" w:cs="TimesNewRoman"/>
          <w:kern w:val="0"/>
          <w:sz w:val="32"/>
          <w:szCs w:val="32"/>
        </w:rPr>
        <w:t>辆</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其他用车1辆；</w:t>
      </w:r>
      <w:r>
        <w:rPr>
          <w:rFonts w:hint="eastAsia" w:ascii="TimesNewRoman" w:hAnsi="TimesNewRoman" w:eastAsia="仿宋_GB2312" w:cs="TimesNewRoman"/>
          <w:kern w:val="0"/>
          <w:sz w:val="32"/>
          <w:szCs w:val="32"/>
        </w:rPr>
        <w:t>单价50万元以上的通用设备</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台（套），单价100万元以上的专用设备</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台（套）。</w:t>
      </w:r>
    </w:p>
    <w:p w14:paraId="5AAA94B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2025年部门（单位）预算安排购置公务用车</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辆，购置费</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万元；安排购置单价50万元以上的通用设备</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台（套），购置费</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万元；安排购置单价100万元以上专用设备</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台（套），购置费</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万元。</w:t>
      </w:r>
    </w:p>
    <w:p w14:paraId="6780D367">
      <w:pPr>
        <w:adjustRightInd w:val="0"/>
        <w:snapToGrid w:val="0"/>
        <w:spacing w:line="580" w:lineRule="exact"/>
        <w:ind w:firstLine="643" w:firstLineChars="200"/>
        <w:rPr>
          <w:rFonts w:ascii="TimesNewRoman" w:hAnsi="TimesNewRoman" w:eastAsia="仿宋_GB2312" w:cs="TimesNewRoman"/>
          <w:b/>
          <w:sz w:val="32"/>
          <w:szCs w:val="32"/>
        </w:rPr>
      </w:pPr>
      <w:r>
        <w:rPr>
          <w:rFonts w:hint="eastAsia" w:ascii="TimesNewRoman" w:hAnsi="TimesNewRoman" w:eastAsia="仿宋_GB2312" w:cs="TimesNewRoman"/>
          <w:b/>
          <w:sz w:val="32"/>
          <w:szCs w:val="32"/>
        </w:rPr>
        <w:t>（五）绩效目标设置情况。</w:t>
      </w:r>
    </w:p>
    <w:p w14:paraId="38B33E64">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2025年，</w:t>
      </w:r>
      <w:r>
        <w:rPr>
          <w:rFonts w:hint="eastAsia" w:ascii="TimesNewRoman" w:hAnsi="TimesNewRoman" w:eastAsia="仿宋_GB2312" w:cs="TimesNewRoman"/>
          <w:kern w:val="0"/>
          <w:sz w:val="32"/>
          <w:szCs w:val="32"/>
          <w:lang w:eastAsia="zh-CN"/>
        </w:rPr>
        <w:t>淮北市司法局</w:t>
      </w:r>
      <w:r>
        <w:rPr>
          <w:rFonts w:hint="eastAsia" w:ascii="TimesNewRoman" w:hAnsi="TimesNewRoman" w:eastAsia="仿宋_GB2312" w:cs="TimesNewRoman"/>
          <w:kern w:val="0"/>
          <w:sz w:val="32"/>
          <w:szCs w:val="32"/>
          <w:lang w:val="en-US" w:eastAsia="zh-CN"/>
        </w:rPr>
        <w:t>3</w:t>
      </w:r>
      <w:r>
        <w:rPr>
          <w:rFonts w:hint="eastAsia" w:ascii="TimesNewRoman" w:hAnsi="TimesNewRoman" w:eastAsia="仿宋_GB2312" w:cs="TimesNewRoman"/>
          <w:kern w:val="0"/>
          <w:sz w:val="32"/>
          <w:szCs w:val="32"/>
        </w:rPr>
        <w:t>个项目实行了绩效目标管理，涉及一般公共预算当年财政拨款</w:t>
      </w:r>
      <w:r>
        <w:rPr>
          <w:rFonts w:hint="eastAsia" w:ascii="TimesNewRoman" w:hAnsi="TimesNewRoman" w:eastAsia="仿宋_GB2312" w:cs="TimesNewRoman"/>
          <w:kern w:val="0"/>
          <w:sz w:val="32"/>
          <w:szCs w:val="32"/>
          <w:lang w:val="en-US" w:eastAsia="zh-CN"/>
        </w:rPr>
        <w:t>123.75</w:t>
      </w:r>
      <w:r>
        <w:rPr>
          <w:rFonts w:hint="eastAsia" w:ascii="TimesNewRoman" w:hAnsi="TimesNewRoman" w:eastAsia="仿宋_GB2312" w:cs="TimesNewRoman"/>
          <w:kern w:val="0"/>
          <w:sz w:val="32"/>
          <w:szCs w:val="32"/>
        </w:rPr>
        <w:t>万元、政府性基金预算当年财政拨款</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万元、财政专户管理资金当年安排</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万元。</w:t>
      </w:r>
    </w:p>
    <w:p w14:paraId="1B085059">
      <w:pPr>
        <w:pStyle w:val="7"/>
        <w:adjustRightInd w:val="0"/>
        <w:snapToGrid w:val="0"/>
        <w:spacing w:line="560" w:lineRule="exact"/>
        <w:jc w:val="center"/>
        <w:rPr>
          <w:rFonts w:ascii="TimesNewRoman" w:hAnsi="TimesNewRoman" w:eastAsia="黑体" w:cs="TimesNewRoman"/>
          <w:bCs/>
          <w:sz w:val="36"/>
          <w:szCs w:val="36"/>
        </w:rPr>
      </w:pPr>
    </w:p>
    <w:p w14:paraId="19B59F4E">
      <w:pPr>
        <w:pStyle w:val="7"/>
        <w:adjustRightInd w:val="0"/>
        <w:snapToGrid w:val="0"/>
        <w:spacing w:line="560" w:lineRule="exact"/>
        <w:jc w:val="center"/>
        <w:rPr>
          <w:rFonts w:ascii="TimesNewRoman" w:hAnsi="TimesNewRoman" w:eastAsia="黑体" w:cs="TimesNewRoman"/>
          <w:bCs/>
          <w:sz w:val="36"/>
          <w:szCs w:val="36"/>
        </w:rPr>
      </w:pPr>
      <w:r>
        <w:rPr>
          <w:rFonts w:hint="eastAsia" w:ascii="TimesNewRoman" w:hAnsi="TimesNewRoman" w:eastAsia="黑体" w:cs="TimesNewRoman"/>
          <w:bCs/>
          <w:sz w:val="36"/>
          <w:szCs w:val="36"/>
        </w:rPr>
        <w:t>第四部分 名词解释</w:t>
      </w:r>
    </w:p>
    <w:p w14:paraId="41C2B6BD"/>
    <w:p w14:paraId="74270C94">
      <w:pPr>
        <w:pStyle w:val="7"/>
        <w:adjustRightInd w:val="0"/>
        <w:snapToGrid w:val="0"/>
        <w:spacing w:line="560" w:lineRule="exact"/>
        <w:ind w:firstLine="630" w:firstLineChars="196"/>
        <w:rPr>
          <w:rFonts w:ascii="TimesNewRoman" w:hAnsi="TimesNewRoman" w:eastAsia="仿宋_GB2312" w:cs="TimesNewRoman"/>
          <w:sz w:val="32"/>
          <w:szCs w:val="32"/>
        </w:rPr>
      </w:pPr>
      <w:r>
        <w:rPr>
          <w:rFonts w:hint="eastAsia" w:ascii="TimesNewRoman" w:hAnsi="TimesNewRoman" w:eastAsia="仿宋_GB2312" w:cs="TimesNewRoman"/>
          <w:b/>
          <w:sz w:val="32"/>
          <w:szCs w:val="32"/>
        </w:rPr>
        <w:t>一、财政拨款收入：</w:t>
      </w:r>
      <w:r>
        <w:rPr>
          <w:rFonts w:hint="eastAsia" w:ascii="TimesNewRoman" w:hAnsi="TimesNewRoman" w:eastAsia="仿宋_GB2312" w:cs="TimesNewRoman"/>
          <w:sz w:val="32"/>
          <w:szCs w:val="32"/>
        </w:rPr>
        <w:t>指部门或单位从同级财政部门取得的财政预算资金。</w:t>
      </w:r>
    </w:p>
    <w:p w14:paraId="29CCE684">
      <w:pPr>
        <w:pStyle w:val="7"/>
        <w:adjustRightInd w:val="0"/>
        <w:snapToGrid w:val="0"/>
        <w:spacing w:line="560" w:lineRule="exact"/>
        <w:ind w:firstLine="630" w:firstLineChars="196"/>
        <w:rPr>
          <w:rFonts w:ascii="TimesNewRoman" w:hAnsi="TimesNewRoman" w:eastAsia="仿宋_GB2312" w:cs="TimesNewRoman"/>
          <w:sz w:val="32"/>
          <w:szCs w:val="32"/>
        </w:rPr>
      </w:pPr>
      <w:r>
        <w:rPr>
          <w:rFonts w:hint="eastAsia" w:ascii="TimesNewRoman" w:hAnsi="TimesNewRoman" w:eastAsia="仿宋_GB2312" w:cs="TimesNewRoman"/>
          <w:b/>
          <w:sz w:val="32"/>
          <w:szCs w:val="32"/>
        </w:rPr>
        <w:t>二、事业收入：</w:t>
      </w:r>
      <w:r>
        <w:rPr>
          <w:rFonts w:hint="eastAsia" w:ascii="TimesNewRoman" w:hAnsi="TimesNewRoman" w:eastAsia="仿宋_GB2312" w:cs="TimesNewRoman"/>
          <w:sz w:val="32"/>
          <w:szCs w:val="32"/>
        </w:rPr>
        <w:t>指事业单位开展专业业务活动及辅助活动所取得的收入。</w:t>
      </w:r>
    </w:p>
    <w:p w14:paraId="0756E1FF">
      <w:pPr>
        <w:pStyle w:val="7"/>
        <w:adjustRightInd w:val="0"/>
        <w:snapToGrid w:val="0"/>
        <w:spacing w:line="560" w:lineRule="exact"/>
        <w:ind w:firstLine="630" w:firstLineChars="196"/>
        <w:rPr>
          <w:rFonts w:ascii="TimesNewRoman" w:hAnsi="TimesNewRoman" w:eastAsia="仿宋_GB2312" w:cs="TimesNewRoman"/>
          <w:sz w:val="32"/>
          <w:szCs w:val="32"/>
        </w:rPr>
      </w:pPr>
      <w:r>
        <w:rPr>
          <w:rFonts w:hint="eastAsia" w:ascii="TimesNewRoman" w:hAnsi="TimesNewRoman" w:eastAsia="仿宋_GB2312" w:cs="TimesNewRoman"/>
          <w:b/>
          <w:sz w:val="32"/>
          <w:szCs w:val="32"/>
        </w:rPr>
        <w:t>三、财政专户管理资金：</w:t>
      </w:r>
      <w:r>
        <w:rPr>
          <w:rFonts w:hint="eastAsia" w:ascii="TimesNewRoman" w:hAnsi="TimesNewRoman" w:eastAsia="仿宋_GB2312" w:cs="TimesNewRoman"/>
          <w:sz w:val="32"/>
          <w:szCs w:val="32"/>
        </w:rPr>
        <w:t>指按照非税收入管理相关规定，纳入财政专户管理的教育收费等。</w:t>
      </w:r>
    </w:p>
    <w:p w14:paraId="45E84020">
      <w:pPr>
        <w:pStyle w:val="7"/>
        <w:adjustRightInd w:val="0"/>
        <w:snapToGrid w:val="0"/>
        <w:spacing w:line="560" w:lineRule="exact"/>
        <w:ind w:firstLine="630" w:firstLineChars="196"/>
        <w:rPr>
          <w:rFonts w:ascii="TimesNewRoman" w:hAnsi="TimesNewRoman" w:eastAsia="仿宋_GB2312" w:cs="TimesNewRoman"/>
          <w:sz w:val="32"/>
          <w:szCs w:val="32"/>
        </w:rPr>
      </w:pPr>
      <w:r>
        <w:rPr>
          <w:rFonts w:hint="eastAsia" w:ascii="TimesNewRoman" w:hAnsi="TimesNewRoman" w:eastAsia="仿宋_GB2312" w:cs="TimesNewRoman"/>
          <w:b/>
          <w:sz w:val="32"/>
          <w:szCs w:val="32"/>
        </w:rPr>
        <w:t>四、事业单位经营收入：</w:t>
      </w:r>
      <w:r>
        <w:rPr>
          <w:rFonts w:hint="eastAsia" w:ascii="TimesNewRoman" w:hAnsi="TimesNewRoman" w:eastAsia="仿宋_GB2312" w:cs="TimesNewRoman"/>
          <w:sz w:val="32"/>
          <w:szCs w:val="32"/>
        </w:rPr>
        <w:t>指事业单位在专业业务活动及其辅助活动之外开展非独立核算经营活动取得的收入。</w:t>
      </w:r>
    </w:p>
    <w:p w14:paraId="43CF26B9">
      <w:pPr>
        <w:pStyle w:val="7"/>
        <w:adjustRightInd w:val="0"/>
        <w:snapToGrid w:val="0"/>
        <w:spacing w:line="560" w:lineRule="exact"/>
        <w:ind w:firstLine="630" w:firstLineChars="196"/>
        <w:rPr>
          <w:rFonts w:ascii="TimesNewRoman" w:hAnsi="TimesNewRoman" w:eastAsia="仿宋_GB2312" w:cs="TimesNewRoman"/>
          <w:sz w:val="32"/>
          <w:szCs w:val="32"/>
        </w:rPr>
      </w:pPr>
      <w:r>
        <w:rPr>
          <w:rFonts w:hint="eastAsia" w:ascii="TimesNewRoman" w:hAnsi="TimesNewRoman" w:eastAsia="仿宋_GB2312" w:cs="TimesNewRoman"/>
          <w:b/>
          <w:sz w:val="32"/>
          <w:szCs w:val="32"/>
        </w:rPr>
        <w:t>五、附属单位上缴收入：</w:t>
      </w:r>
      <w:r>
        <w:rPr>
          <w:rFonts w:hint="eastAsia" w:ascii="TimesNewRoman" w:hAnsi="TimesNewRoman" w:eastAsia="仿宋_GB2312" w:cs="TimesNewRoman"/>
          <w:sz w:val="32"/>
          <w:szCs w:val="32"/>
        </w:rPr>
        <w:t>本单位所属下级单位上缴给本单位的全部收入。</w:t>
      </w:r>
    </w:p>
    <w:p w14:paraId="2FC2C571">
      <w:pPr>
        <w:pStyle w:val="7"/>
        <w:adjustRightInd w:val="0"/>
        <w:snapToGrid w:val="0"/>
        <w:spacing w:line="560" w:lineRule="exact"/>
        <w:ind w:firstLine="630" w:firstLineChars="196"/>
        <w:rPr>
          <w:rFonts w:ascii="TimesNewRoman" w:hAnsi="TimesNewRoman" w:eastAsia="仿宋_GB2312" w:cs="TimesNewRoman"/>
          <w:sz w:val="32"/>
          <w:szCs w:val="32"/>
        </w:rPr>
      </w:pPr>
      <w:r>
        <w:rPr>
          <w:rFonts w:hint="eastAsia" w:ascii="TimesNewRoman" w:hAnsi="TimesNewRoman" w:eastAsia="仿宋_GB2312" w:cs="TimesNewRoman"/>
          <w:b/>
          <w:sz w:val="32"/>
          <w:szCs w:val="32"/>
        </w:rPr>
        <w:t>六、上年结转：</w:t>
      </w:r>
      <w:r>
        <w:rPr>
          <w:rFonts w:hint="eastAsia" w:ascii="TimesNewRoman" w:hAnsi="TimesNewRoman" w:eastAsia="仿宋_GB2312" w:cs="TimesNewRoman"/>
          <w:sz w:val="32"/>
          <w:szCs w:val="32"/>
        </w:rPr>
        <w:t>指以前年度安排、结转到本年仍按原用途继续使用的资金。</w:t>
      </w:r>
    </w:p>
    <w:p w14:paraId="41E17A92">
      <w:pPr>
        <w:pStyle w:val="7"/>
        <w:adjustRightInd w:val="0"/>
        <w:snapToGrid w:val="0"/>
        <w:spacing w:line="560" w:lineRule="exact"/>
        <w:ind w:firstLine="630" w:firstLineChars="196"/>
        <w:rPr>
          <w:rFonts w:ascii="TimesNewRoman" w:hAnsi="TimesNewRoman" w:eastAsia="仿宋_GB2312" w:cs="TimesNewRoman"/>
          <w:sz w:val="32"/>
          <w:szCs w:val="32"/>
        </w:rPr>
      </w:pPr>
      <w:r>
        <w:rPr>
          <w:rFonts w:hint="eastAsia" w:ascii="TimesNewRoman" w:hAnsi="TimesNewRoman" w:eastAsia="仿宋_GB2312" w:cs="TimesNewRoman"/>
          <w:b/>
          <w:sz w:val="32"/>
          <w:szCs w:val="32"/>
        </w:rPr>
        <w:t>七、结转下年：</w:t>
      </w:r>
      <w:r>
        <w:rPr>
          <w:rFonts w:hint="eastAsia" w:ascii="TimesNewRoman" w:hAnsi="TimesNewRoman" w:eastAsia="仿宋_GB2312" w:cs="TimesNewRoman"/>
          <w:sz w:val="32"/>
          <w:szCs w:val="32"/>
        </w:rPr>
        <w:t>指以前年度预算安排、因客观条件发生变化无法按原计划实施，需以后年度按原用途继续使用的资金。</w:t>
      </w:r>
    </w:p>
    <w:p w14:paraId="259E49E2">
      <w:pPr>
        <w:pStyle w:val="7"/>
        <w:adjustRightInd w:val="0"/>
        <w:snapToGrid w:val="0"/>
        <w:spacing w:line="560" w:lineRule="exact"/>
        <w:ind w:firstLine="630" w:firstLineChars="196"/>
        <w:rPr>
          <w:rFonts w:ascii="TimesNewRoman" w:hAnsi="TimesNewRoman" w:eastAsia="仿宋_GB2312" w:cs="TimesNewRoman"/>
          <w:sz w:val="32"/>
          <w:szCs w:val="32"/>
        </w:rPr>
      </w:pPr>
      <w:r>
        <w:rPr>
          <w:rFonts w:hint="eastAsia" w:ascii="TimesNewRoman" w:hAnsi="TimesNewRoman" w:eastAsia="仿宋_GB2312" w:cs="TimesNewRoman"/>
          <w:b/>
          <w:sz w:val="32"/>
          <w:szCs w:val="32"/>
        </w:rPr>
        <w:t>八、基本支出：</w:t>
      </w:r>
      <w:r>
        <w:rPr>
          <w:rFonts w:hint="eastAsia" w:ascii="TimesNewRoman" w:hAnsi="TimesNewRoman" w:eastAsia="仿宋_GB2312" w:cs="TimesNewRoman"/>
          <w:sz w:val="32"/>
          <w:szCs w:val="32"/>
        </w:rPr>
        <w:t>指为保障机构正常运转、完成日常工作任务而发生的人员支出和公用支出。</w:t>
      </w:r>
    </w:p>
    <w:p w14:paraId="170C786D">
      <w:pPr>
        <w:pStyle w:val="7"/>
        <w:adjustRightInd w:val="0"/>
        <w:snapToGrid w:val="0"/>
        <w:spacing w:line="560" w:lineRule="exact"/>
        <w:ind w:firstLine="630" w:firstLineChars="196"/>
        <w:rPr>
          <w:rFonts w:ascii="TimesNewRoman" w:hAnsi="TimesNewRoman" w:eastAsia="仿宋_GB2312" w:cs="TimesNewRoman"/>
          <w:sz w:val="32"/>
          <w:szCs w:val="32"/>
        </w:rPr>
      </w:pPr>
      <w:r>
        <w:rPr>
          <w:rFonts w:hint="eastAsia" w:ascii="TimesNewRoman" w:hAnsi="TimesNewRoman" w:eastAsia="仿宋_GB2312" w:cs="TimesNewRoman"/>
          <w:b/>
          <w:sz w:val="32"/>
          <w:szCs w:val="32"/>
        </w:rPr>
        <w:t>九、项目支出：</w:t>
      </w:r>
      <w:r>
        <w:rPr>
          <w:rFonts w:hint="eastAsia" w:ascii="TimesNewRoman" w:hAnsi="TimesNewRoman" w:eastAsia="仿宋_GB2312" w:cs="TimesNewRoman"/>
          <w:sz w:val="32"/>
          <w:szCs w:val="32"/>
        </w:rPr>
        <w:t>指在除基本支出之外的支出，主要用于完成特定的工作任务和事业发展目标。</w:t>
      </w:r>
    </w:p>
    <w:p w14:paraId="66057DB1">
      <w:pPr>
        <w:pStyle w:val="7"/>
        <w:adjustRightInd w:val="0"/>
        <w:snapToGrid w:val="0"/>
        <w:spacing w:line="560" w:lineRule="exact"/>
        <w:ind w:firstLine="630" w:firstLineChars="196"/>
        <w:rPr>
          <w:rFonts w:ascii="TimesNewRoman" w:hAnsi="TimesNewRoman" w:eastAsia="仿宋_GB2312" w:cs="TimesNewRoman"/>
          <w:sz w:val="32"/>
          <w:szCs w:val="32"/>
        </w:rPr>
      </w:pPr>
      <w:r>
        <w:rPr>
          <w:rFonts w:hint="eastAsia" w:ascii="TimesNewRoman" w:hAnsi="TimesNewRoman" w:eastAsia="仿宋_GB2312" w:cs="TimesNewRoman"/>
          <w:b/>
          <w:sz w:val="32"/>
          <w:szCs w:val="32"/>
        </w:rPr>
        <w:t xml:space="preserve">十、机关运行经费: </w:t>
      </w:r>
      <w:r>
        <w:rPr>
          <w:rFonts w:hint="eastAsia" w:ascii="TimesNewRoman" w:hAnsi="TimesNewRoman" w:eastAsia="仿宋_GB2312" w:cs="TimesNewRoman"/>
          <w:sz w:val="32"/>
          <w:szCs w:val="32"/>
        </w:rPr>
        <w:t>为保障行政单位（包括参照公务员法管理的事业单位）运行用于购买货物和服务的各项资金，包括办公及印刷费、邮电费、差旅费、会议费、福利费、日常维修费、一般设备购置费、办公用房水电费、办公用房取暖费、办公用房物业管理费、公务用车运行维护费以及其他费用。</w:t>
      </w:r>
    </w:p>
    <w:p w14:paraId="708A06B1"/>
    <w:p w14:paraId="7A5A52D2"/>
    <w:p w14:paraId="1DA638C7"/>
    <w:p w14:paraId="6370372A"/>
    <w:p w14:paraId="0170FD5F"/>
    <w:sectPr>
      <w:pgSz w:w="11906" w:h="16838"/>
      <w:pgMar w:top="1304" w:right="1134" w:bottom="1304"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TimesNewRoman">
    <w:altName w:val="DejaVu Sans"/>
    <w:panose1 w:val="00000000000000000000"/>
    <w:charset w:val="00"/>
    <w:family w:val="auto"/>
    <w:pitch w:val="default"/>
    <w:sig w:usb0="00000000" w:usb1="00000000" w:usb2="00000029" w:usb3="00000000" w:csb0="600001FF" w:csb1="FFFF0000"/>
  </w:font>
  <w:font w:name="方正黑体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_GB2312">
    <w:altName w:val="方正楷体_GBK"/>
    <w:panose1 w:val="02010609030101010101"/>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36DEB6"/>
    <w:multiLevelType w:val="singleLevel"/>
    <w:tmpl w:val="3536DEB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7C4"/>
    <w:rsid w:val="000E28EE"/>
    <w:rsid w:val="00267E33"/>
    <w:rsid w:val="004A4DC6"/>
    <w:rsid w:val="0057562B"/>
    <w:rsid w:val="006546AF"/>
    <w:rsid w:val="00726D96"/>
    <w:rsid w:val="00740B10"/>
    <w:rsid w:val="007862C0"/>
    <w:rsid w:val="008F6D1A"/>
    <w:rsid w:val="009168AC"/>
    <w:rsid w:val="009A3CA3"/>
    <w:rsid w:val="00AE3242"/>
    <w:rsid w:val="00B468F1"/>
    <w:rsid w:val="00B964EC"/>
    <w:rsid w:val="00BD640A"/>
    <w:rsid w:val="00DB2A5C"/>
    <w:rsid w:val="00E907C4"/>
    <w:rsid w:val="00EC7755"/>
    <w:rsid w:val="00F45ECB"/>
    <w:rsid w:val="00F974AD"/>
    <w:rsid w:val="00FB5D55"/>
    <w:rsid w:val="09BB0D18"/>
    <w:rsid w:val="0E054DD9"/>
    <w:rsid w:val="0EEA3A76"/>
    <w:rsid w:val="141A4F06"/>
    <w:rsid w:val="15A2691F"/>
    <w:rsid w:val="1941239E"/>
    <w:rsid w:val="36971722"/>
    <w:rsid w:val="4EE78A0D"/>
    <w:rsid w:val="5E1B7CE6"/>
    <w:rsid w:val="5F6E6E08"/>
    <w:rsid w:val="68887924"/>
    <w:rsid w:val="69122DCC"/>
    <w:rsid w:val="77BE5C84"/>
    <w:rsid w:val="EDFB1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after="120"/>
      <w:ind w:left="200" w:leftChars="200" w:firstLine="420" w:firstLineChars="200"/>
    </w:pPr>
    <w:rPr>
      <w:rFonts w:ascii="Times New Roman"/>
    </w:rPr>
  </w:style>
  <w:style w:type="paragraph" w:styleId="3">
    <w:name w:val="Body Text Indent"/>
    <w:basedOn w:val="1"/>
    <w:next w:val="2"/>
    <w:qFormat/>
    <w:uiPriority w:val="0"/>
    <w:pPr>
      <w:ind w:firstLine="630"/>
    </w:pPr>
  </w:style>
  <w:style w:type="paragraph" w:styleId="4">
    <w:name w:val="Normal Indent"/>
    <w:basedOn w:val="1"/>
    <w:qFormat/>
    <w:uiPriority w:val="0"/>
    <w:pPr>
      <w:ind w:firstLine="200" w:firstLineChars="200"/>
    </w:pPr>
  </w:style>
  <w:style w:type="paragraph" w:styleId="5">
    <w:name w:val="footer"/>
    <w:basedOn w:val="1"/>
    <w:link w:val="11"/>
    <w:semiHidden/>
    <w:unhideWhenUsed/>
    <w:qFormat/>
    <w:uiPriority w:val="99"/>
    <w:pPr>
      <w:tabs>
        <w:tab w:val="center" w:pos="4153"/>
        <w:tab w:val="right" w:pos="8306"/>
      </w:tabs>
      <w:snapToGrid w:val="0"/>
      <w:jc w:val="left"/>
    </w:pPr>
    <w:rPr>
      <w:sz w:val="18"/>
      <w:szCs w:val="18"/>
    </w:rPr>
  </w:style>
  <w:style w:type="paragraph" w:styleId="6">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0">
    <w:name w:val="页眉 Char"/>
    <w:basedOn w:val="9"/>
    <w:link w:val="6"/>
    <w:semiHidden/>
    <w:qFormat/>
    <w:uiPriority w:val="99"/>
    <w:rPr>
      <w:sz w:val="18"/>
      <w:szCs w:val="18"/>
    </w:rPr>
  </w:style>
  <w:style w:type="character" w:customStyle="1" w:styleId="11">
    <w:name w:val="页脚 Char"/>
    <w:basedOn w:val="9"/>
    <w:link w:val="5"/>
    <w:semiHidden/>
    <w:qFormat/>
    <w:uiPriority w:val="99"/>
    <w:rPr>
      <w:sz w:val="18"/>
      <w:szCs w:val="18"/>
    </w:rPr>
  </w:style>
  <w:style w:type="character" w:customStyle="1" w:styleId="12">
    <w:name w:val="font11"/>
    <w:basedOn w:val="9"/>
    <w:qFormat/>
    <w:uiPriority w:val="0"/>
    <w:rPr>
      <w:rFonts w:hint="default" w:ascii="Calibri" w:hAnsi="Calibri" w:cs="Calibri"/>
      <w:color w:val="000000"/>
      <w:sz w:val="21"/>
      <w:szCs w:val="21"/>
      <w:u w:val="none"/>
    </w:rPr>
  </w:style>
  <w:style w:type="character" w:customStyle="1" w:styleId="13">
    <w:name w:val="font21"/>
    <w:basedOn w:val="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12398</Words>
  <Characters>13420</Characters>
  <Lines>48</Lines>
  <Paragraphs>13</Paragraphs>
  <TotalTime>1</TotalTime>
  <ScaleCrop>false</ScaleCrop>
  <LinksUpToDate>false</LinksUpToDate>
  <CharactersWithSpaces>13662</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2023-01-30T17:51:00Z</dcterms:created>
  <dc:creator>lenovo</dc:creator>
  <cp:lastModifiedBy>greatwall</cp:lastModifiedBy>
  <dcterms:modified xsi:type="dcterms:W3CDTF">2026-08-10T15:30:16Z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eyJoZGlkIjoiOGViMGIxNmQ2ZThmMTkzMjRkYzM0NjZiNzFiODRjYzMiLCJ1c2VySWQiOiIxNTUwMzY4MTQxIn0=</vt:lpwstr>
  </property>
  <property fmtid="{D5CDD505-2E9C-101B-9397-08002B2CF9AE}" pid="3" name="KSOProductBuildVer">
    <vt:lpwstr>2052-12.8.2.21176</vt:lpwstr>
  </property>
  <property fmtid="{D5CDD505-2E9C-101B-9397-08002B2CF9AE}" pid="4" name="ICV">
    <vt:lpwstr>30203977B67F49E595F4295D0D512C8D_13</vt:lpwstr>
  </property>
</Properties>
</file>