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76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《淮北市公共资源交易领域相对集中行政处罚权工作实施方案》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实施后评估报告</w:t>
      </w:r>
    </w:p>
    <w:p w14:paraId="2218FD4C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59069DA">
      <w:pPr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 一、评估对象</w:t>
      </w:r>
    </w:p>
    <w:p w14:paraId="4FF58AD9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本次实施后评估的对象为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淮北市人民政府办公室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规范性文件《淮北市公共资源交易领域相对集中行政处罚权工作实施方案》（淮政办秘〔2020〕64号）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（以下简称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《实施方案》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，该《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实施方案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》2020年11月26日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印发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，自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印发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之日起施行。</w:t>
      </w:r>
    </w:p>
    <w:p w14:paraId="4CFF6207">
      <w:pPr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评估背景与目的</w:t>
      </w:r>
    </w:p>
    <w:p w14:paraId="512DCFD9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为全面检验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《实施方案》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的实施成效，判断其与当前公共资源交易监管需求的适应性，根据《中华人民共和国行政处罚法》《中华人民共和国招标投标法》《中华人民共和国招标投标法实施条例》及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《淮北市人民政府重大行政决策实施情况跟踪反馈与后评估办法》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相关规定，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淮北市公共资源交易监督管理局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组织开展了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《实施方案》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实施后评估工作。</w:t>
      </w:r>
    </w:p>
    <w:p w14:paraId="1C72F7F8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本次评估旨在：通过系统梳理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《实施方案》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施以来的执法效能、部门协作、公众反馈等情况，科学研判其合法性、合理性、可操作性及实际效果，为后续是否继续沿用、修订或调整提供依据，进一步巩固公共资源交易领域“一支队伍管执法”的改革成果。</w:t>
      </w:r>
    </w:p>
    <w:p w14:paraId="3CD547C4">
      <w:pPr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三、评估范围</w:t>
      </w:r>
    </w:p>
    <w:p w14:paraId="37E132FA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包括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《实施方案》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确定的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公共资源交易领域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相对集中处罚权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执法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范围、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机制、监督保障措施等内容；覆盖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《实施方案》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实施后公共资源交易领域的执法数据、部门执行情况及社会公众反馈等。</w:t>
      </w:r>
    </w:p>
    <w:p w14:paraId="26965EAC">
      <w:pPr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四、评估方法与程序</w:t>
      </w:r>
    </w:p>
    <w:p w14:paraId="0927FEF8">
      <w:pPr>
        <w:ind w:firstLine="643" w:firstLineChars="200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（一）评估方法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与程序</w:t>
      </w:r>
    </w:p>
    <w:p w14:paraId="004EF665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梳理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《实施方案》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制定依据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文件、实施以来的执法案件台账等数据；</w:t>
      </w:r>
    </w:p>
    <w:p w14:paraId="53914790"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2、市公共资源交易监督管理局相关科室围绕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《实施方案》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实施后评估工作展开专题讨论。重点梳理方案在实施以来在处罚流程规范、执法效率提升、交易市场秩序维护等方面的实际成效。</w:t>
      </w:r>
    </w:p>
    <w:p w14:paraId="2906D5D4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 公众意见征集：通过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市公共资源交易监管局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官网公开征求社会公众意见。</w:t>
      </w:r>
    </w:p>
    <w:p w14:paraId="06F29D4C">
      <w:pPr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评估内容与分析</w:t>
      </w:r>
    </w:p>
    <w:p w14:paraId="0D83AA8F">
      <w:pPr>
        <w:ind w:firstLine="643" w:firstLineChars="200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（一）合法性评估</w:t>
      </w:r>
    </w:p>
    <w:p w14:paraId="67D71F6D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《实施方案》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依据《中华人民共和国行政处罚法》第十八条关于相对集中行政处罚权的规定，结合本地公共资源交易监管实际，明确将房屋建筑和市政基础设施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工程建设方面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交通基础设施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工程建设方面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水利工程建设方面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违反建设工程招标投标管理违法违规行为的行政处罚；国有建设用地使用权及矿业权出让方面，对采取行贿、串通投标、弄虚作假等非法手段中标或者竟得的违法违规行为的行政处罚；国有及其他产权交易方面，对违反相关法律、法规、规章违法违规行为的行政处罚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项行政处罚权集中由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市公共资源交易监督管理局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行使，权限划转程序经省级政府批准，内容与上位法无抵触，合法性完全合规。</w:t>
      </w:r>
    </w:p>
    <w:p w14:paraId="20217C5C">
      <w:pPr>
        <w:ind w:firstLine="643" w:firstLineChars="200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（二）实施效能评估</w:t>
      </w:r>
    </w:p>
    <w:p w14:paraId="57E4243C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 执法集中度提升：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《实施方案》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实施前，公共资源交易领域处罚权分散在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多个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部门，存在“多头执法、重复检查”问题；实施后，由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淮北市公共资源交易监督管理局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统一行使，案件平均流转时间缩短，执法效率提升。</w:t>
      </w:r>
    </w:p>
    <w:p w14:paraId="2CE2B008"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 违法违规行为遏制：实施以来，共查处公共资源交易领域违法案件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起，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处罚违法违规企业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39家次，罚款247万。无一起行政复议和行政诉讼案件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，监管震慑作用显著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246FC392">
      <w:pPr>
        <w:ind w:firstLine="643" w:firstLineChars="200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（三）协作机制评估</w:t>
      </w:r>
    </w:p>
    <w:p w14:paraId="38A75218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《实施方案》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明确的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“公共资源交易领域行政执法工作协调制度”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信息资源共享机制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运行顺畅，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市发改委、市住建局已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完成信息共享平台对接，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市公共资源交易监管局与公安、纪委监委、检察院、法院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“五方协同”常态化运作，实现线索及时研判、信息及时互通、案件及时移交一体化工作格局，震慑效应持续扩大、升温。</w:t>
      </w:r>
    </w:p>
    <w:p w14:paraId="4F21D75D">
      <w:pPr>
        <w:ind w:firstLine="643" w:firstLineChars="200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（四）公众意见征集情况</w:t>
      </w:r>
    </w:p>
    <w:bookmarkEnd w:id="0"/>
    <w:p w14:paraId="14422955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2025年3月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市公共资源交易监管局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官网公开征求社会公众意见，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未收到社会公众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反馈意见。</w:t>
      </w:r>
    </w:p>
    <w:p w14:paraId="7BFB2F2A">
      <w:pPr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、评估结论</w:t>
      </w:r>
    </w:p>
    <w:p w14:paraId="0057BD81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综合评估认为，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《淮北市公共资源交易领域相对集中行政处罚权工作实施方案》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制定程序合法、内容科学合理、实施机制顺畅，有效解决了公共资源交易领域“多头执法、标准不一”的问题，执法效能显著提升，市场秩序持续优化，社会公众及市场主体认可度高。从公众意见征集情况看，未发现需要修改的重大缺陷或适应性问题，其内容与当前公共资源交易监管需求完全匹配。</w:t>
      </w:r>
    </w:p>
    <w:p w14:paraId="09A51448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评估结论：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《淮北市公共资源交易领域相对集中行政处罚权工作实施方案》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继续沿用，无需修改。</w:t>
      </w:r>
    </w:p>
    <w:p w14:paraId="129F24A1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0A508E3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BA3313D">
      <w:pPr>
        <w:ind w:firstLine="2240" w:firstLineChars="7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评估单位：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淮北市公共资源交易监督管理局</w:t>
      </w:r>
    </w:p>
    <w:p w14:paraId="67BBF9BC">
      <w:pPr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2025年8月8日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B5D21"/>
    <w:rsid w:val="0EA02025"/>
    <w:rsid w:val="24EB5D21"/>
    <w:rsid w:val="553A45E0"/>
    <w:rsid w:val="65F9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2025-08-08T00:36:00Z</dcterms:created>
  <dc:creator>饶志英</dc:creator>
  <cp:lastModifiedBy>饶志英</cp:lastModifiedBy>
  <dcterms:modified xsi:type="dcterms:W3CDTF">2025-08-08T07:41:29Z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D502B8DEB56F4C73A90A74B92A66A227_11</vt:lpwstr>
  </property>
  <property fmtid="{D5CDD505-2E9C-101B-9397-08002B2CF9AE}" pid="4" name="KSOTemplateDocerSaveRecord">
    <vt:lpwstr>eyJoZGlkIjoiYWQyYjUyYThjZTcyNDQ5Y2VkYWIzY2QyYTU2NWM3MjgiLCJ1c2VySWQiOiIxMjQxNzUzOTU3In0=</vt:lpwstr>
  </property>
</Properties>
</file>