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13"/>
        <w:spacing w:line="240" w:lineRule="auto"/>
        <w:ind w:left="0" w:leftChars="0" w:firstLine="0" w:firstLineChars="0"/>
        <w:rPr>
          <w:rFonts w:hint="eastAsia" w:ascii="方正小标宋简体" w:hAnsi="方正小标宋简体" w:eastAsia="方正小标宋简体" w:cs="方正小标宋简体"/>
          <w:b/>
          <w:bCs w:val="0"/>
          <w:color w:val="auto"/>
          <w:sz w:val="52"/>
          <w:szCs w:val="52"/>
          <w:highlight w:val="none"/>
          <w:lang w:val="en-US" w:eastAsia="zh-CN"/>
        </w:rPr>
      </w:pPr>
    </w:p>
    <w:p>
      <w:pPr>
        <w:pageBreakBefore w:val="0"/>
        <w:kinsoku/>
        <w:wordWrap/>
        <w:overflowPunct/>
        <w:topLinePunct w:val="0"/>
        <w:bidi w:val="0"/>
        <w:adjustRightInd/>
        <w:snapToGrid/>
        <w:spacing w:line="240" w:lineRule="auto"/>
        <w:ind w:left="0" w:leftChars="0" w:right="0" w:rightChars="0" w:firstLine="0" w:firstLineChars="0"/>
        <w:jc w:val="center"/>
        <w:rPr>
          <w:rFonts w:hint="eastAsia" w:ascii="CESI小标宋-GB2312" w:hAnsi="CESI小标宋-GB2312" w:eastAsia="CESI小标宋-GB2312" w:cs="CESI小标宋-GB2312"/>
          <w:b w:val="0"/>
          <w:bCs/>
          <w:color w:val="auto"/>
          <w:sz w:val="44"/>
          <w:szCs w:val="44"/>
          <w:highlight w:val="none"/>
          <w:lang w:val="en-US" w:eastAsia="zh-CN"/>
        </w:rPr>
      </w:pPr>
      <w:r>
        <w:rPr>
          <w:rFonts w:hint="eastAsia" w:ascii="CESI小标宋-GB2312" w:hAnsi="CESI小标宋-GB2312" w:eastAsia="CESI小标宋-GB2312" w:cs="CESI小标宋-GB2312"/>
          <w:b w:val="0"/>
          <w:bCs/>
          <w:color w:val="auto"/>
          <w:spacing w:val="20"/>
          <w:sz w:val="44"/>
          <w:szCs w:val="44"/>
          <w:highlight w:val="none"/>
          <w:lang w:val="en-US" w:eastAsia="zh-CN"/>
        </w:rPr>
        <w:t>《淮北市城市更新暂行办法》</w:t>
      </w:r>
    </w:p>
    <w:p>
      <w:pPr>
        <w:pageBreakBefore w:val="0"/>
        <w:kinsoku/>
        <w:wordWrap/>
        <w:overflowPunct/>
        <w:topLinePunct w:val="0"/>
        <w:bidi w:val="0"/>
        <w:adjustRightInd/>
        <w:snapToGrid/>
        <w:spacing w:line="240" w:lineRule="auto"/>
        <w:ind w:left="0" w:leftChars="0" w:right="0" w:rightChars="0" w:firstLine="0" w:firstLineChars="0"/>
        <w:jc w:val="center"/>
        <w:rPr>
          <w:rFonts w:hint="eastAsia" w:ascii="方正小标宋简体" w:hAnsi="方正小标宋简体" w:eastAsia="方正小标宋简体" w:cs="方正小标宋简体"/>
          <w:color w:val="auto"/>
          <w:spacing w:val="20"/>
          <w:sz w:val="72"/>
          <w:szCs w:val="72"/>
          <w:highlight w:val="none"/>
          <w:lang w:val="en-US" w:eastAsia="zh-CN"/>
        </w:rPr>
      </w:pPr>
      <w:r>
        <w:rPr>
          <w:rFonts w:hint="eastAsia" w:ascii="CESI小标宋-GB2312" w:hAnsi="CESI小标宋-GB2312" w:eastAsia="CESI小标宋-GB2312" w:cs="CESI小标宋-GB2312"/>
          <w:b w:val="0"/>
          <w:bCs/>
          <w:color w:val="auto"/>
          <w:spacing w:val="20"/>
          <w:sz w:val="44"/>
          <w:szCs w:val="44"/>
          <w:highlight w:val="none"/>
          <w:lang w:val="en-US" w:eastAsia="zh-CN"/>
        </w:rPr>
        <w:t>决策实施后评估报告</w:t>
      </w:r>
    </w:p>
    <w:p>
      <w:pPr>
        <w:pageBreakBefore w:val="0"/>
        <w:kinsoku/>
        <w:wordWrap/>
        <w:overflowPunct/>
        <w:topLinePunct w:val="0"/>
        <w:bidi w:val="0"/>
        <w:adjustRightInd/>
        <w:snapToGrid/>
        <w:spacing w:line="240" w:lineRule="auto"/>
        <w:ind w:left="0" w:leftChars="0" w:right="0" w:rightChars="0" w:firstLine="0" w:firstLineChars="0"/>
        <w:jc w:val="left"/>
        <w:rPr>
          <w:rFonts w:hint="eastAsia" w:ascii="方正小标宋简体" w:hAnsi="方正小标宋简体" w:eastAsia="方正小标宋简体" w:cs="方正小标宋简体"/>
          <w:color w:val="auto"/>
          <w:sz w:val="44"/>
          <w:szCs w:val="44"/>
          <w:highlight w:val="none"/>
          <w:lang w:val="en-US" w:eastAsia="zh-CN"/>
        </w:rPr>
      </w:pPr>
    </w:p>
    <w:p>
      <w:pPr>
        <w:pageBreakBefore w:val="0"/>
        <w:kinsoku/>
        <w:wordWrap/>
        <w:overflowPunct/>
        <w:topLinePunct w:val="0"/>
        <w:bidi w:val="0"/>
        <w:adjustRightInd/>
        <w:snapToGrid/>
        <w:spacing w:line="240" w:lineRule="auto"/>
        <w:ind w:left="0" w:leftChars="0" w:right="0" w:rightChars="0" w:firstLine="0" w:firstLineChars="0"/>
        <w:jc w:val="left"/>
        <w:rPr>
          <w:rFonts w:hint="eastAsia" w:ascii="方正小标宋简体" w:hAnsi="方正小标宋简体" w:eastAsia="方正小标宋简体" w:cs="方正小标宋简体"/>
          <w:color w:val="auto"/>
          <w:sz w:val="44"/>
          <w:szCs w:val="44"/>
          <w:highlight w:val="none"/>
          <w:lang w:val="en-US" w:eastAsia="zh-CN"/>
        </w:rPr>
      </w:pPr>
    </w:p>
    <w:p>
      <w:pPr>
        <w:pageBreakBefore w:val="0"/>
        <w:kinsoku/>
        <w:wordWrap/>
        <w:overflowPunct/>
        <w:topLinePunct w:val="0"/>
        <w:bidi w:val="0"/>
        <w:adjustRightInd/>
        <w:snapToGrid/>
        <w:spacing w:line="240" w:lineRule="auto"/>
        <w:ind w:left="0" w:leftChars="0" w:right="0" w:rightChars="0" w:firstLine="0" w:firstLineChars="0"/>
        <w:jc w:val="left"/>
        <w:rPr>
          <w:rFonts w:hint="eastAsia" w:ascii="方正小标宋简体" w:hAnsi="方正小标宋简体" w:eastAsia="方正小标宋简体" w:cs="方正小标宋简体"/>
          <w:color w:val="auto"/>
          <w:sz w:val="44"/>
          <w:szCs w:val="44"/>
          <w:highlight w:val="none"/>
          <w:lang w:val="en-US" w:eastAsia="zh-CN"/>
        </w:rPr>
      </w:pPr>
    </w:p>
    <w:p>
      <w:pPr>
        <w:pStyle w:val="13"/>
        <w:keepNext w:val="0"/>
        <w:keepLines w:val="0"/>
        <w:pageBreakBefore w:val="0"/>
        <w:widowControl w:val="0"/>
        <w:kinsoku/>
        <w:wordWrap/>
        <w:overflowPunct/>
        <w:topLinePunct w:val="0"/>
        <w:autoSpaceDE/>
        <w:autoSpaceDN/>
        <w:bidi w:val="0"/>
        <w:adjustRightInd/>
        <w:snapToGrid/>
        <w:spacing w:line="240" w:lineRule="auto"/>
        <w:ind w:left="0" w:leftChars="0"/>
        <w:jc w:val="left"/>
        <w:textAlignment w:val="auto"/>
        <w:rPr>
          <w:rFonts w:hint="eastAsia" w:ascii="方正小标宋简体" w:hAnsi="方正小标宋简体" w:eastAsia="方正小标宋简体" w:cs="方正小标宋简体"/>
          <w:color w:val="auto"/>
          <w:sz w:val="44"/>
          <w:szCs w:val="44"/>
          <w:highlight w:val="none"/>
        </w:rPr>
      </w:pPr>
    </w:p>
    <w:p>
      <w:pPr>
        <w:jc w:val="left"/>
        <w:rPr>
          <w:rFonts w:hint="eastAsia" w:ascii="方正小标宋简体" w:hAnsi="方正小标宋简体" w:eastAsia="方正小标宋简体" w:cs="方正小标宋简体"/>
          <w:b w:val="0"/>
          <w:color w:val="auto"/>
          <w:sz w:val="32"/>
          <w:highlight w:val="none"/>
        </w:rPr>
      </w:pPr>
    </w:p>
    <w:p>
      <w:pPr>
        <w:jc w:val="left"/>
        <w:rPr>
          <w:rFonts w:hint="eastAsia" w:ascii="方正小标宋简体" w:hAnsi="方正小标宋简体" w:eastAsia="方正小标宋简体" w:cs="方正小标宋简体"/>
          <w:b w:val="0"/>
          <w:color w:val="auto"/>
          <w:sz w:val="32"/>
          <w:highlight w:val="none"/>
        </w:rPr>
      </w:pPr>
    </w:p>
    <w:p>
      <w:pPr>
        <w:jc w:val="left"/>
        <w:rPr>
          <w:rFonts w:hint="eastAsia" w:ascii="方正小标宋简体" w:hAnsi="方正小标宋简体" w:eastAsia="方正小标宋简体" w:cs="方正小标宋简体"/>
          <w:b w:val="0"/>
          <w:color w:val="auto"/>
          <w:sz w:val="32"/>
          <w:highlight w:val="none"/>
        </w:rPr>
      </w:pPr>
    </w:p>
    <w:p>
      <w:pPr>
        <w:jc w:val="left"/>
        <w:rPr>
          <w:rFonts w:hint="eastAsia" w:ascii="方正小标宋简体" w:hAnsi="方正小标宋简体" w:eastAsia="方正小标宋简体" w:cs="方正小标宋简体"/>
          <w:b w:val="0"/>
          <w:bCs w:val="0"/>
          <w:color w:val="auto"/>
          <w:highlight w:val="none"/>
        </w:rPr>
      </w:pPr>
    </w:p>
    <w:p>
      <w:pPr>
        <w:pStyle w:val="13"/>
        <w:rPr>
          <w:rFonts w:hint="eastAsia"/>
          <w:color w:val="auto"/>
        </w:rPr>
      </w:pPr>
    </w:p>
    <w:tbl>
      <w:tblPr>
        <w:tblStyle w:val="23"/>
        <w:tblW w:w="800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74"/>
        <w:gridCol w:w="603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8" w:hRule="atLeast"/>
          <w:jc w:val="center"/>
        </w:trPr>
        <w:tc>
          <w:tcPr>
            <w:tcW w:w="1974" w:type="dxa"/>
            <w:vAlign w:val="center"/>
          </w:tcPr>
          <w:p>
            <w:pPr>
              <w:spacing w:line="360" w:lineRule="auto"/>
              <w:jc w:val="distribute"/>
              <w:rPr>
                <w:rFonts w:hint="eastAsia" w:ascii="方正小标宋简体" w:hAnsi="方正小标宋简体" w:eastAsia="方正小标宋简体" w:cs="方正小标宋简体"/>
                <w:b/>
                <w:bCs/>
                <w:color w:val="auto"/>
                <w:sz w:val="36"/>
                <w:szCs w:val="36"/>
                <w:highlight w:val="none"/>
                <w:lang w:val="en-US" w:eastAsia="zh-CN"/>
              </w:rPr>
            </w:pPr>
            <w:r>
              <w:rPr>
                <w:rFonts w:hint="eastAsia" w:ascii="方正小标宋简体" w:hAnsi="方正小标宋简体" w:eastAsia="方正小标宋简体" w:cs="方正小标宋简体"/>
                <w:b/>
                <w:bCs/>
                <w:color w:val="auto"/>
                <w:sz w:val="36"/>
                <w:szCs w:val="36"/>
                <w:highlight w:val="none"/>
                <w:lang w:val="en-US" w:eastAsia="zh-CN"/>
              </w:rPr>
              <w:t>委托单位：</w:t>
            </w:r>
          </w:p>
        </w:tc>
        <w:tc>
          <w:tcPr>
            <w:tcW w:w="6031" w:type="dxa"/>
            <w:vAlign w:val="center"/>
          </w:tcPr>
          <w:p>
            <w:pPr>
              <w:spacing w:line="360" w:lineRule="auto"/>
              <w:jc w:val="left"/>
              <w:rPr>
                <w:rFonts w:hint="eastAsia" w:ascii="方正小标宋简体" w:hAnsi="方正小标宋简体" w:eastAsia="方正小标宋简体" w:cs="方正小标宋简体"/>
                <w:b/>
                <w:bCs/>
                <w:color w:val="auto"/>
                <w:spacing w:val="0"/>
                <w:w w:val="80"/>
                <w:sz w:val="52"/>
                <w:szCs w:val="52"/>
                <w:highlight w:val="none"/>
                <w:lang w:val="en-US"/>
              </w:rPr>
            </w:pPr>
            <w:r>
              <w:rPr>
                <w:rFonts w:hint="eastAsia" w:ascii="方正小标宋简体" w:hAnsi="方正小标宋简体" w:eastAsia="方正小标宋简体" w:cs="方正小标宋简体"/>
                <w:b/>
                <w:bCs/>
                <w:color w:val="auto"/>
                <w:w w:val="100"/>
                <w:sz w:val="36"/>
                <w:szCs w:val="36"/>
                <w:highlight w:val="none"/>
                <w:lang w:val="en-US" w:eastAsia="zh-CN"/>
              </w:rPr>
              <w:t>淮北市住房和城乡建设局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 w:hRule="atLeast"/>
          <w:jc w:val="center"/>
        </w:trPr>
        <w:tc>
          <w:tcPr>
            <w:tcW w:w="1974" w:type="dxa"/>
            <w:vAlign w:val="center"/>
          </w:tcPr>
          <w:p>
            <w:pPr>
              <w:spacing w:line="360" w:lineRule="auto"/>
              <w:jc w:val="distribute"/>
              <w:rPr>
                <w:rFonts w:hint="eastAsia" w:ascii="方正小标宋简体" w:hAnsi="方正小标宋简体" w:eastAsia="方正小标宋简体" w:cs="方正小标宋简体"/>
                <w:b/>
                <w:bCs/>
                <w:color w:val="auto"/>
                <w:sz w:val="36"/>
                <w:szCs w:val="36"/>
                <w:highlight w:val="none"/>
                <w:lang w:val="en-US" w:eastAsia="zh-CN"/>
              </w:rPr>
            </w:pPr>
            <w:r>
              <w:rPr>
                <w:rFonts w:hint="eastAsia" w:ascii="方正小标宋简体" w:hAnsi="方正小标宋简体" w:eastAsia="方正小标宋简体" w:cs="方正小标宋简体"/>
                <w:b/>
                <w:bCs/>
                <w:color w:val="auto"/>
                <w:sz w:val="36"/>
                <w:szCs w:val="36"/>
                <w:highlight w:val="none"/>
                <w:lang w:val="en-US" w:eastAsia="zh-CN"/>
              </w:rPr>
              <w:t>编制单位：</w:t>
            </w:r>
          </w:p>
        </w:tc>
        <w:tc>
          <w:tcPr>
            <w:tcW w:w="603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distribute"/>
              <w:textAlignment w:val="auto"/>
              <w:rPr>
                <w:rFonts w:hint="eastAsia" w:ascii="方正小标宋简体" w:hAnsi="方正小标宋简体" w:eastAsia="方正小标宋简体" w:cs="方正小标宋简体"/>
                <w:b/>
                <w:bCs/>
                <w:color w:val="auto"/>
                <w:spacing w:val="23"/>
                <w:sz w:val="72"/>
                <w:szCs w:val="72"/>
                <w:highlight w:val="none"/>
              </w:rPr>
            </w:pPr>
            <w:r>
              <w:rPr>
                <w:rFonts w:hint="eastAsia" w:ascii="方正小标宋简体" w:hAnsi="方正小标宋简体" w:eastAsia="方正小标宋简体" w:cs="方正小标宋简体"/>
                <w:b/>
                <w:bCs/>
                <w:color w:val="auto"/>
                <w:sz w:val="36"/>
                <w:szCs w:val="36"/>
                <w:highlight w:val="none"/>
              </w:rPr>
              <w:t>安徽相皖国泰风险管理咨询有限公司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2" w:hRule="atLeast"/>
          <w:jc w:val="center"/>
        </w:trPr>
        <w:tc>
          <w:tcPr>
            <w:tcW w:w="1974" w:type="dxa"/>
            <w:vAlign w:val="center"/>
          </w:tcPr>
          <w:p>
            <w:pPr>
              <w:spacing w:line="360" w:lineRule="auto"/>
              <w:jc w:val="center"/>
              <w:rPr>
                <w:rFonts w:hint="eastAsia" w:ascii="方正小标宋简体" w:hAnsi="方正小标宋简体" w:eastAsia="方正小标宋简体" w:cs="方正小标宋简体"/>
                <w:b/>
                <w:bCs/>
                <w:color w:val="auto"/>
                <w:sz w:val="36"/>
                <w:szCs w:val="36"/>
                <w:highlight w:val="none"/>
                <w:lang w:val="en-US" w:eastAsia="zh-CN"/>
              </w:rPr>
            </w:pPr>
            <w:r>
              <w:rPr>
                <w:rFonts w:hint="eastAsia" w:ascii="方正小标宋简体" w:hAnsi="方正小标宋简体" w:eastAsia="方正小标宋简体" w:cs="方正小标宋简体"/>
                <w:b/>
                <w:bCs/>
                <w:color w:val="auto"/>
                <w:sz w:val="36"/>
                <w:szCs w:val="36"/>
                <w:highlight w:val="none"/>
                <w:lang w:val="en-US" w:eastAsia="zh-CN"/>
              </w:rPr>
              <w:t>编制时间：</w:t>
            </w:r>
          </w:p>
        </w:tc>
        <w:tc>
          <w:tcPr>
            <w:tcW w:w="6031" w:type="dxa"/>
            <w:vAlign w:val="center"/>
          </w:tcPr>
          <w:p>
            <w:pPr>
              <w:spacing w:line="360" w:lineRule="auto"/>
              <w:jc w:val="both"/>
              <w:rPr>
                <w:rFonts w:hint="eastAsia" w:ascii="方正小标宋简体" w:hAnsi="方正小标宋简体" w:eastAsia="方正小标宋简体" w:cs="方正小标宋简体"/>
                <w:b/>
                <w:bCs/>
                <w:color w:val="auto"/>
                <w:sz w:val="36"/>
                <w:szCs w:val="36"/>
                <w:highlight w:val="none"/>
              </w:rPr>
            </w:pPr>
            <w:r>
              <w:rPr>
                <w:rFonts w:hint="eastAsia" w:ascii="方正小标宋简体" w:hAnsi="方正小标宋简体" w:eastAsia="方正小标宋简体" w:cs="方正小标宋简体"/>
                <w:b/>
                <w:bCs/>
                <w:color w:val="auto"/>
                <w:sz w:val="36"/>
                <w:szCs w:val="36"/>
                <w:highlight w:val="none"/>
              </w:rPr>
              <w:t>二〇二</w:t>
            </w:r>
            <w:r>
              <w:rPr>
                <w:rFonts w:hint="eastAsia" w:ascii="方正小标宋简体" w:hAnsi="方正小标宋简体" w:eastAsia="方正小标宋简体" w:cs="方正小标宋简体"/>
                <w:b/>
                <w:bCs/>
                <w:color w:val="auto"/>
                <w:sz w:val="36"/>
                <w:szCs w:val="36"/>
                <w:highlight w:val="none"/>
                <w:lang w:eastAsia="zh-CN"/>
              </w:rPr>
              <w:t>五</w:t>
            </w:r>
            <w:r>
              <w:rPr>
                <w:rFonts w:hint="eastAsia" w:ascii="方正小标宋简体" w:hAnsi="方正小标宋简体" w:eastAsia="方正小标宋简体" w:cs="方正小标宋简体"/>
                <w:b/>
                <w:bCs/>
                <w:color w:val="auto"/>
                <w:sz w:val="36"/>
                <w:szCs w:val="36"/>
                <w:highlight w:val="none"/>
              </w:rPr>
              <w:t>年</w:t>
            </w:r>
            <w:r>
              <w:rPr>
                <w:rFonts w:hint="eastAsia" w:ascii="方正小标宋简体" w:hAnsi="方正小标宋简体" w:eastAsia="方正小标宋简体" w:cs="方正小标宋简体"/>
                <w:b/>
                <w:bCs/>
                <w:color w:val="auto"/>
                <w:sz w:val="36"/>
                <w:szCs w:val="36"/>
                <w:highlight w:val="none"/>
                <w:lang w:val="en-US" w:eastAsia="zh-CN"/>
              </w:rPr>
              <w:t>四</w:t>
            </w:r>
            <w:r>
              <w:rPr>
                <w:rFonts w:hint="eastAsia" w:ascii="方正小标宋简体" w:hAnsi="方正小标宋简体" w:eastAsia="方正小标宋简体" w:cs="方正小标宋简体"/>
                <w:b/>
                <w:bCs/>
                <w:color w:val="auto"/>
                <w:sz w:val="36"/>
                <w:szCs w:val="36"/>
                <w:highlight w:val="none"/>
              </w:rPr>
              <w:t>月</w:t>
            </w:r>
          </w:p>
        </w:tc>
      </w:tr>
    </w:tbl>
    <w:p>
      <w:pPr>
        <w:pStyle w:val="13"/>
        <w:spacing w:line="240" w:lineRule="auto"/>
        <w:ind w:left="0" w:leftChars="0" w:firstLine="0" w:firstLineChars="0"/>
        <w:rPr>
          <w:rFonts w:hint="eastAsia" w:ascii="方正小标宋简体" w:hAnsi="方正小标宋简体" w:eastAsia="方正小标宋简体" w:cs="方正小标宋简体"/>
          <w:b/>
          <w:bCs w:val="0"/>
          <w:color w:val="auto"/>
          <w:sz w:val="52"/>
          <w:szCs w:val="52"/>
          <w:highlight w:val="none"/>
          <w:lang w:val="en-US" w:eastAsia="zh-CN"/>
        </w:rPr>
      </w:pPr>
    </w:p>
    <w:p>
      <w:pPr>
        <w:pStyle w:val="13"/>
        <w:spacing w:line="240" w:lineRule="auto"/>
        <w:ind w:left="0" w:leftChars="0" w:firstLine="0" w:firstLineChars="0"/>
        <w:rPr>
          <w:rFonts w:hint="eastAsia" w:ascii="方正小标宋简体" w:hAnsi="方正小标宋简体" w:eastAsia="方正小标宋简体" w:cs="方正小标宋简体"/>
          <w:b/>
          <w:bCs w:val="0"/>
          <w:color w:val="auto"/>
          <w:sz w:val="52"/>
          <w:szCs w:val="52"/>
          <w:highlight w:val="none"/>
          <w:lang w:val="en-US" w:eastAsia="zh-CN"/>
        </w:rPr>
      </w:pPr>
    </w:p>
    <w:p>
      <w:pPr>
        <w:pageBreakBefore w:val="0"/>
        <w:kinsoku/>
        <w:wordWrap/>
        <w:overflowPunct/>
        <w:topLinePunct w:val="0"/>
        <w:bidi w:val="0"/>
        <w:adjustRightInd/>
        <w:snapToGrid/>
        <w:spacing w:line="240" w:lineRule="auto"/>
        <w:ind w:left="0" w:leftChars="0" w:right="0" w:rightChars="0" w:firstLine="0" w:firstLineChars="0"/>
        <w:jc w:val="center"/>
        <w:rPr>
          <w:rFonts w:hint="eastAsia" w:ascii="方正小标宋简体" w:hAnsi="方正小标宋简体" w:eastAsia="方正小标宋简体" w:cs="方正小标宋简体"/>
          <w:b w:val="0"/>
          <w:bCs/>
          <w:color w:val="auto"/>
          <w:sz w:val="52"/>
          <w:szCs w:val="52"/>
          <w:highlight w:val="none"/>
          <w:lang w:val="en-US" w:eastAsia="zh-CN"/>
        </w:rPr>
      </w:pPr>
      <w:r>
        <w:rPr>
          <w:rFonts w:hint="eastAsia" w:ascii="方正小标宋简体" w:hAnsi="方正小标宋简体" w:eastAsia="方正小标宋简体" w:cs="方正小标宋简体"/>
          <w:b w:val="0"/>
          <w:bCs/>
          <w:color w:val="auto"/>
          <w:spacing w:val="20"/>
          <w:sz w:val="52"/>
          <w:szCs w:val="52"/>
          <w:highlight w:val="none"/>
          <w:lang w:val="en-US" w:eastAsia="zh-CN"/>
        </w:rPr>
        <w:t>《淮北市城市更新暂行办法》</w:t>
      </w:r>
    </w:p>
    <w:p>
      <w:pPr>
        <w:pageBreakBefore w:val="0"/>
        <w:kinsoku/>
        <w:wordWrap/>
        <w:overflowPunct/>
        <w:topLinePunct w:val="0"/>
        <w:bidi w:val="0"/>
        <w:adjustRightInd/>
        <w:snapToGrid/>
        <w:spacing w:line="240" w:lineRule="auto"/>
        <w:ind w:left="0" w:leftChars="0" w:right="0" w:rightChars="0" w:firstLine="0" w:firstLineChars="0"/>
        <w:jc w:val="center"/>
        <w:rPr>
          <w:rFonts w:hint="eastAsia" w:ascii="方正小标宋简体" w:hAnsi="方正小标宋简体" w:eastAsia="方正小标宋简体" w:cs="方正小标宋简体"/>
          <w:b w:val="0"/>
          <w:bCs/>
          <w:color w:val="auto"/>
          <w:spacing w:val="20"/>
          <w:sz w:val="72"/>
          <w:szCs w:val="72"/>
          <w:highlight w:val="none"/>
          <w:lang w:val="en-US" w:eastAsia="zh-CN"/>
        </w:rPr>
      </w:pPr>
      <w:r>
        <w:rPr>
          <w:rFonts w:hint="eastAsia" w:ascii="方正小标宋简体" w:hAnsi="方正小标宋简体" w:eastAsia="方正小标宋简体" w:cs="方正小标宋简体"/>
          <w:b w:val="0"/>
          <w:bCs/>
          <w:color w:val="auto"/>
          <w:spacing w:val="20"/>
          <w:sz w:val="72"/>
          <w:szCs w:val="72"/>
          <w:highlight w:val="none"/>
          <w:lang w:val="en-US" w:eastAsia="zh-CN"/>
        </w:rPr>
        <w:t>决策实施后评估报告</w:t>
      </w:r>
    </w:p>
    <w:p>
      <w:pPr>
        <w:pStyle w:val="13"/>
        <w:rPr>
          <w:rFonts w:hint="eastAsia"/>
          <w:color w:val="auto"/>
          <w:lang w:val="en-US" w:eastAsia="zh-CN"/>
        </w:rPr>
      </w:pPr>
    </w:p>
    <w:p>
      <w:pPr>
        <w:pStyle w:val="29"/>
        <w:bidi w:val="0"/>
        <w:ind w:left="0" w:leftChars="0" w:firstLine="0" w:firstLineChars="0"/>
        <w:rPr>
          <w:rFonts w:hint="eastAsia" w:ascii="方正小标宋简体" w:hAnsi="方正小标宋简体" w:eastAsia="方正小标宋简体" w:cs="方正小标宋简体"/>
          <w:color w:val="auto"/>
          <w:sz w:val="36"/>
          <w:szCs w:val="36"/>
          <w:highlight w:val="none"/>
        </w:rPr>
      </w:pP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943" w:firstLineChars="262"/>
        <w:contextualSpacing/>
        <w:textAlignment w:val="auto"/>
        <w:rPr>
          <w:rFonts w:hint="eastAsia" w:ascii="方正小标宋简体" w:hAnsi="方正小标宋简体" w:eastAsia="方正小标宋简体" w:cs="方正小标宋简体"/>
          <w:color w:val="auto"/>
          <w:sz w:val="36"/>
          <w:szCs w:val="36"/>
          <w:highlight w:val="none"/>
        </w:rPr>
      </w:pPr>
      <w:r>
        <w:rPr>
          <w:rFonts w:hint="eastAsia" w:ascii="方正小标宋简体" w:hAnsi="方正小标宋简体" w:eastAsia="方正小标宋简体" w:cs="方正小标宋简体"/>
          <w:color w:val="auto"/>
          <w:sz w:val="36"/>
          <w:szCs w:val="36"/>
          <w:highlight w:val="none"/>
        </w:rPr>
        <w:t>技术负责人：</w:t>
      </w:r>
      <w:r>
        <w:rPr>
          <w:rFonts w:hint="eastAsia" w:ascii="方正小标宋简体" w:hAnsi="方正小标宋简体" w:eastAsia="方正小标宋简体" w:cs="方正小标宋简体"/>
          <w:color w:val="auto"/>
          <w:sz w:val="36"/>
          <w:szCs w:val="36"/>
          <w:highlight w:val="none"/>
          <w:lang w:val="en-US" w:eastAsia="zh-CN"/>
        </w:rPr>
        <w:t>张  峰</w:t>
      </w:r>
      <w:r>
        <w:rPr>
          <w:rFonts w:hint="eastAsia" w:ascii="方正小标宋简体" w:hAnsi="方正小标宋简体" w:eastAsia="方正小标宋简体" w:cs="方正小标宋简体"/>
          <w:color w:val="auto"/>
          <w:sz w:val="36"/>
          <w:szCs w:val="36"/>
          <w:highlight w:val="none"/>
        </w:rPr>
        <w:t xml:space="preserve">  </w:t>
      </w:r>
      <w:r>
        <w:rPr>
          <w:rFonts w:hint="eastAsia" w:ascii="方正小标宋简体" w:hAnsi="方正小标宋简体" w:eastAsia="方正小标宋简体" w:cs="方正小标宋简体"/>
          <w:color w:val="auto"/>
          <w:sz w:val="36"/>
          <w:szCs w:val="36"/>
          <w:highlight w:val="none"/>
          <w:lang w:val="en-US" w:eastAsia="zh-CN"/>
        </w:rPr>
        <w:t xml:space="preserve"> </w:t>
      </w:r>
      <w:r>
        <w:rPr>
          <w:rFonts w:hint="eastAsia" w:ascii="方正小标宋简体" w:hAnsi="方正小标宋简体" w:eastAsia="方正小标宋简体" w:cs="方正小标宋简体"/>
          <w:color w:val="auto"/>
          <w:sz w:val="36"/>
          <w:szCs w:val="36"/>
          <w:highlight w:val="none"/>
          <w:u w:val="single"/>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943" w:firstLineChars="262"/>
        <w:contextualSpacing/>
        <w:textAlignment w:val="auto"/>
        <w:rPr>
          <w:rFonts w:hint="eastAsia" w:ascii="方正小标宋简体" w:hAnsi="方正小标宋简体" w:eastAsia="方正小标宋简体" w:cs="方正小标宋简体"/>
          <w:color w:val="auto"/>
          <w:sz w:val="36"/>
          <w:szCs w:val="36"/>
          <w:highlight w:val="none"/>
        </w:rPr>
      </w:pPr>
      <w:r>
        <w:rPr>
          <w:rFonts w:hint="eastAsia" w:ascii="方正小标宋简体" w:hAnsi="方正小标宋简体" w:eastAsia="方正小标宋简体" w:cs="方正小标宋简体"/>
          <w:color w:val="auto"/>
          <w:sz w:val="36"/>
          <w:szCs w:val="36"/>
          <w:highlight w:val="none"/>
        </w:rPr>
        <w:t>项目负责人：</w:t>
      </w:r>
      <w:r>
        <w:rPr>
          <w:rFonts w:hint="eastAsia" w:ascii="方正小标宋简体" w:hAnsi="方正小标宋简体" w:eastAsia="方正小标宋简体" w:cs="方正小标宋简体"/>
          <w:color w:val="auto"/>
          <w:sz w:val="36"/>
          <w:szCs w:val="36"/>
          <w:highlight w:val="none"/>
          <w:lang w:val="en-US" w:eastAsia="zh-CN"/>
        </w:rPr>
        <w:t>王  波</w:t>
      </w:r>
      <w:r>
        <w:rPr>
          <w:rFonts w:hint="eastAsia" w:ascii="方正小标宋简体" w:hAnsi="方正小标宋简体" w:eastAsia="方正小标宋简体" w:cs="方正小标宋简体"/>
          <w:color w:val="auto"/>
          <w:sz w:val="36"/>
          <w:szCs w:val="36"/>
          <w:highlight w:val="none"/>
        </w:rPr>
        <w:t xml:space="preserve">  </w:t>
      </w:r>
      <w:r>
        <w:rPr>
          <w:rFonts w:hint="eastAsia" w:ascii="方正小标宋简体" w:hAnsi="方正小标宋简体" w:eastAsia="方正小标宋简体" w:cs="方正小标宋简体"/>
          <w:color w:val="auto"/>
          <w:sz w:val="36"/>
          <w:szCs w:val="36"/>
          <w:highlight w:val="none"/>
          <w:lang w:val="en-US" w:eastAsia="zh-CN"/>
        </w:rPr>
        <w:t xml:space="preserve"> </w:t>
      </w:r>
      <w:r>
        <w:rPr>
          <w:rFonts w:hint="eastAsia" w:ascii="方正小标宋简体" w:hAnsi="方正小标宋简体" w:eastAsia="方正小标宋简体" w:cs="方正小标宋简体"/>
          <w:color w:val="auto"/>
          <w:sz w:val="36"/>
          <w:szCs w:val="36"/>
          <w:highlight w:val="none"/>
          <w:u w:val="single"/>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943" w:firstLineChars="262"/>
        <w:contextualSpacing/>
        <w:textAlignment w:val="auto"/>
        <w:rPr>
          <w:rFonts w:hint="eastAsia" w:ascii="方正小标宋简体" w:hAnsi="方正小标宋简体" w:eastAsia="方正小标宋简体" w:cs="方正小标宋简体"/>
          <w:color w:val="auto"/>
          <w:sz w:val="36"/>
          <w:szCs w:val="36"/>
          <w:highlight w:val="none"/>
          <w:lang w:eastAsia="zh-CN"/>
        </w:rPr>
      </w:pPr>
      <w:r>
        <w:rPr>
          <w:rFonts w:hint="eastAsia" w:ascii="方正小标宋简体" w:hAnsi="方正小标宋简体" w:eastAsia="方正小标宋简体" w:cs="方正小标宋简体"/>
          <w:color w:val="auto"/>
          <w:sz w:val="36"/>
          <w:szCs w:val="36"/>
          <w:highlight w:val="none"/>
        </w:rPr>
        <w:t>报告编制人：</w:t>
      </w:r>
      <w:r>
        <w:rPr>
          <w:rFonts w:hint="eastAsia" w:ascii="方正小标宋简体" w:hAnsi="方正小标宋简体" w:eastAsia="方正小标宋简体" w:cs="方正小标宋简体"/>
          <w:color w:val="auto"/>
          <w:sz w:val="36"/>
          <w:szCs w:val="36"/>
          <w:highlight w:val="none"/>
          <w:lang w:val="en-US" w:eastAsia="zh-CN"/>
        </w:rPr>
        <w:t xml:space="preserve">王  波    </w:t>
      </w:r>
      <w:r>
        <w:rPr>
          <w:rFonts w:hint="eastAsia" w:ascii="方正小标宋简体" w:hAnsi="方正小标宋简体" w:eastAsia="方正小标宋简体" w:cs="方正小标宋简体"/>
          <w:color w:val="auto"/>
          <w:sz w:val="36"/>
          <w:szCs w:val="36"/>
          <w:highlight w:val="none"/>
        </w:rPr>
        <w:t>梁朝阳</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3081" w:firstLineChars="856"/>
        <w:contextualSpacing/>
        <w:textAlignment w:val="auto"/>
        <w:rPr>
          <w:rFonts w:hint="eastAsia" w:ascii="方正小标宋简体" w:hAnsi="方正小标宋简体" w:eastAsia="方正小标宋简体" w:cs="方正小标宋简体"/>
          <w:color w:val="auto"/>
          <w:sz w:val="36"/>
          <w:szCs w:val="36"/>
          <w:highlight w:val="none"/>
          <w:lang w:val="en-US" w:eastAsia="zh-CN"/>
        </w:rPr>
      </w:pPr>
      <w:r>
        <w:rPr>
          <w:rFonts w:hint="eastAsia" w:ascii="方正小标宋简体" w:hAnsi="方正小标宋简体" w:eastAsia="方正小标宋简体" w:cs="方正小标宋简体"/>
          <w:color w:val="auto"/>
          <w:sz w:val="36"/>
          <w:szCs w:val="36"/>
          <w:highlight w:val="none"/>
        </w:rPr>
        <w:t>苗俊美</w:t>
      </w:r>
      <w:r>
        <w:rPr>
          <w:rFonts w:hint="eastAsia" w:ascii="方正小标宋简体" w:hAnsi="方正小标宋简体" w:eastAsia="方正小标宋简体" w:cs="方正小标宋简体"/>
          <w:color w:val="auto"/>
          <w:sz w:val="36"/>
          <w:szCs w:val="36"/>
          <w:highlight w:val="none"/>
          <w:lang w:val="en-US" w:eastAsia="zh-CN"/>
        </w:rPr>
        <w:t xml:space="preserve">    邵凯文</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3081" w:firstLineChars="856"/>
        <w:contextualSpacing/>
        <w:textAlignment w:val="auto"/>
        <w:rPr>
          <w:rFonts w:hint="eastAsia" w:ascii="方正小标宋简体" w:hAnsi="方正小标宋简体" w:eastAsia="方正小标宋简体" w:cs="方正小标宋简体"/>
          <w:color w:val="auto"/>
          <w:sz w:val="36"/>
          <w:szCs w:val="36"/>
          <w:highlight w:val="none"/>
        </w:rPr>
      </w:pPr>
      <w:r>
        <w:rPr>
          <w:rFonts w:hint="eastAsia" w:ascii="方正小标宋简体" w:hAnsi="方正小标宋简体" w:eastAsia="方正小标宋简体" w:cs="方正小标宋简体"/>
          <w:color w:val="auto"/>
          <w:sz w:val="36"/>
          <w:szCs w:val="36"/>
          <w:highlight w:val="none"/>
        </w:rPr>
        <w:t>周  欣</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3081" w:firstLineChars="856"/>
        <w:contextualSpacing/>
        <w:textAlignment w:val="auto"/>
        <w:rPr>
          <w:rFonts w:hint="eastAsia" w:ascii="方正小标宋简体" w:hAnsi="方正小标宋简体" w:eastAsia="方正小标宋简体" w:cs="方正小标宋简体"/>
          <w:color w:val="auto"/>
          <w:sz w:val="36"/>
          <w:szCs w:val="36"/>
          <w:highlight w:val="none"/>
          <w:lang w:val="en-US" w:eastAsia="zh-CN"/>
        </w:rPr>
      </w:pPr>
      <w:r>
        <w:rPr>
          <w:rFonts w:hint="eastAsia" w:ascii="方正小标宋简体" w:hAnsi="方正小标宋简体" w:eastAsia="方正小标宋简体" w:cs="方正小标宋简体"/>
          <w:color w:val="auto"/>
          <w:sz w:val="36"/>
          <w:szCs w:val="36"/>
          <w:highlight w:val="none"/>
          <w:lang w:val="en-US" w:eastAsia="zh-CN"/>
        </w:rPr>
        <w:t>徐  号</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943" w:firstLineChars="262"/>
        <w:textAlignment w:val="auto"/>
        <w:rPr>
          <w:rFonts w:hint="eastAsia" w:ascii="方正小标宋简体" w:hAnsi="方正小标宋简体" w:eastAsia="方正小标宋简体" w:cs="方正小标宋简体"/>
          <w:color w:val="auto"/>
          <w:sz w:val="36"/>
          <w:szCs w:val="36"/>
          <w:highlight w:val="none"/>
        </w:rPr>
      </w:pPr>
      <w:r>
        <w:rPr>
          <w:rFonts w:hint="eastAsia" w:ascii="方正小标宋简体" w:hAnsi="方正小标宋简体" w:eastAsia="方正小标宋简体" w:cs="方正小标宋简体"/>
          <w:color w:val="auto"/>
          <w:sz w:val="36"/>
          <w:szCs w:val="36"/>
          <w:highlight w:val="none"/>
        </w:rPr>
        <w:t>报告审定人：</w:t>
      </w:r>
      <w:r>
        <w:rPr>
          <w:rFonts w:hint="eastAsia" w:ascii="方正小标宋简体" w:hAnsi="方正小标宋简体" w:eastAsia="方正小标宋简体" w:cs="方正小标宋简体"/>
          <w:color w:val="auto"/>
          <w:sz w:val="36"/>
          <w:szCs w:val="36"/>
          <w:highlight w:val="none"/>
          <w:lang w:val="en-US" w:eastAsia="zh-CN"/>
        </w:rPr>
        <w:t>张  峰</w:t>
      </w:r>
      <w:r>
        <w:rPr>
          <w:rFonts w:hint="eastAsia" w:ascii="方正小标宋简体" w:hAnsi="方正小标宋简体" w:eastAsia="方正小标宋简体" w:cs="方正小标宋简体"/>
          <w:color w:val="auto"/>
          <w:sz w:val="36"/>
          <w:szCs w:val="36"/>
          <w:highlight w:val="none"/>
        </w:rPr>
        <w:t xml:space="preserve">  </w:t>
      </w:r>
      <w:r>
        <w:rPr>
          <w:rFonts w:hint="eastAsia" w:ascii="方正小标宋简体" w:hAnsi="方正小标宋简体" w:eastAsia="方正小标宋简体" w:cs="方正小标宋简体"/>
          <w:color w:val="auto"/>
          <w:sz w:val="36"/>
          <w:szCs w:val="36"/>
          <w:highlight w:val="none"/>
          <w:lang w:val="en-US" w:eastAsia="zh-CN"/>
        </w:rPr>
        <w:t xml:space="preserve"> </w:t>
      </w:r>
      <w:r>
        <w:rPr>
          <w:rFonts w:hint="eastAsia" w:ascii="方正小标宋简体" w:hAnsi="方正小标宋简体" w:eastAsia="方正小标宋简体" w:cs="方正小标宋简体"/>
          <w:color w:val="auto"/>
          <w:sz w:val="36"/>
          <w:szCs w:val="36"/>
          <w:highlight w:val="none"/>
          <w:u w:val="single"/>
        </w:rPr>
        <w:t xml:space="preserve">             </w:t>
      </w:r>
    </w:p>
    <w:p>
      <w:pPr>
        <w:keepNext w:val="0"/>
        <w:keepLines w:val="0"/>
        <w:pageBreakBefore w:val="0"/>
        <w:widowControl w:val="0"/>
        <w:kinsoku/>
        <w:wordWrap/>
        <w:overflowPunct/>
        <w:topLinePunct w:val="0"/>
        <w:autoSpaceDE/>
        <w:autoSpaceDN/>
        <w:bidi w:val="0"/>
        <w:adjustRightInd/>
        <w:snapToGrid w:val="0"/>
        <w:spacing w:line="360" w:lineRule="auto"/>
        <w:ind w:left="0" w:leftChars="0" w:firstLine="943" w:firstLineChars="262"/>
        <w:textAlignment w:val="auto"/>
        <w:rPr>
          <w:rFonts w:hint="eastAsia" w:ascii="方正小标宋简体" w:hAnsi="方正小标宋简体" w:eastAsia="方正小标宋简体" w:cs="方正小标宋简体"/>
          <w:color w:val="auto"/>
          <w:sz w:val="36"/>
          <w:szCs w:val="36"/>
          <w:highlight w:val="none"/>
        </w:rPr>
      </w:pPr>
    </w:p>
    <w:p>
      <w:pPr>
        <w:pStyle w:val="13"/>
        <w:rPr>
          <w:rFonts w:hint="eastAsia"/>
          <w:color w:val="auto"/>
        </w:rPr>
      </w:pPr>
    </w:p>
    <w:p>
      <w:pPr>
        <w:pStyle w:val="8"/>
        <w:rPr>
          <w:rFonts w:hint="eastAsia"/>
          <w:color w:val="auto"/>
          <w:highlight w:val="none"/>
        </w:rPr>
      </w:pP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eastAsia" w:ascii="方正小标宋简体" w:hAnsi="方正小标宋简体" w:eastAsia="方正小标宋简体" w:cs="方正小标宋简体"/>
          <w:color w:val="auto"/>
          <w:w w:val="90"/>
          <w:sz w:val="36"/>
          <w:szCs w:val="36"/>
          <w:highlight w:val="none"/>
        </w:rPr>
      </w:pPr>
      <w:r>
        <w:rPr>
          <w:rFonts w:hint="eastAsia" w:ascii="方正小标宋简体" w:hAnsi="方正小标宋简体" w:eastAsia="方正小标宋简体" w:cs="方正小标宋简体"/>
          <w:color w:val="auto"/>
          <w:sz w:val="36"/>
          <w:szCs w:val="36"/>
          <w:highlight w:val="none"/>
        </w:rPr>
        <w:t>编制单位：</w:t>
      </w:r>
      <w:r>
        <w:rPr>
          <w:rFonts w:hint="eastAsia" w:ascii="方正小标宋简体" w:hAnsi="方正小标宋简体" w:eastAsia="方正小标宋简体" w:cs="方正小标宋简体"/>
          <w:color w:val="auto"/>
          <w:w w:val="90"/>
          <w:sz w:val="36"/>
          <w:szCs w:val="36"/>
          <w:highlight w:val="none"/>
        </w:rPr>
        <w:t>安徽相皖国泰风险管理咨询有限公司</w:t>
      </w:r>
    </w:p>
    <w:p>
      <w:pPr>
        <w:pStyle w:val="9"/>
        <w:keepNext w:val="0"/>
        <w:keepLines w:val="0"/>
        <w:pageBreakBefore w:val="0"/>
        <w:widowControl w:val="0"/>
        <w:kinsoku/>
        <w:wordWrap/>
        <w:overflowPunct/>
        <w:topLinePunct w:val="0"/>
        <w:autoSpaceDE/>
        <w:autoSpaceDN/>
        <w:bidi w:val="0"/>
        <w:adjustRightInd/>
        <w:snapToGrid w:val="0"/>
        <w:spacing w:after="0" w:line="480" w:lineRule="auto"/>
        <w:textAlignment w:val="auto"/>
        <w:rPr>
          <w:rFonts w:hint="eastAsia" w:ascii="方正小标宋简体" w:hAnsi="方正小标宋简体" w:eastAsia="方正小标宋简体" w:cs="方正小标宋简体"/>
          <w:color w:val="auto"/>
          <w:sz w:val="36"/>
          <w:szCs w:val="36"/>
          <w:highlight w:val="none"/>
          <w:lang w:eastAsia="zh-CN"/>
        </w:rPr>
      </w:pPr>
    </w:p>
    <w:p>
      <w:pPr>
        <w:bidi w:val="0"/>
        <w:rPr>
          <w:rFonts w:hint="eastAsia"/>
          <w:color w:val="auto"/>
          <w:lang w:eastAsia="zh-CN"/>
        </w:rPr>
        <w:sectPr>
          <w:footerReference r:id="rId3" w:type="default"/>
          <w:pgSz w:w="11906" w:h="16838"/>
          <w:pgMar w:top="1440" w:right="1800" w:bottom="1440" w:left="1800" w:header="992" w:footer="992" w:gutter="0"/>
          <w:pgBorders>
            <w:top w:val="none" w:sz="0" w:space="0"/>
            <w:left w:val="none" w:sz="0" w:space="0"/>
            <w:bottom w:val="none" w:sz="0" w:space="0"/>
            <w:right w:val="none" w:sz="0" w:space="0"/>
          </w:pgBorders>
          <w:cols w:space="0" w:num="1"/>
          <w:rtlGutter w:val="0"/>
          <w:docGrid w:type="lines" w:linePitch="317" w:charSpace="0"/>
        </w:sectPr>
      </w:pPr>
    </w:p>
    <w:p>
      <w:pPr>
        <w:keepNext w:val="0"/>
        <w:keepLines w:val="0"/>
        <w:pageBreakBefore w:val="0"/>
        <w:widowControl w:val="0"/>
        <w:kinsoku/>
        <w:wordWrap/>
        <w:overflowPunct/>
        <w:topLinePunct w:val="0"/>
        <w:autoSpaceDE/>
        <w:autoSpaceDN/>
        <w:bidi w:val="0"/>
        <w:adjustRightInd/>
        <w:snapToGrid/>
        <w:spacing w:before="318" w:beforeLines="100" w:after="318" w:afterLines="100" w:line="360" w:lineRule="auto"/>
        <w:jc w:val="center"/>
        <w:textAlignment w:val="auto"/>
        <w:rPr>
          <w:rFonts w:hint="eastAsia" w:ascii="仿宋_GB2312" w:hAnsi="仿宋_GB2312" w:eastAsia="仿宋_GB2312" w:cs="仿宋_GB2312"/>
          <w:b/>
          <w:bCs/>
          <w:color w:val="auto"/>
          <w:sz w:val="44"/>
          <w:szCs w:val="44"/>
        </w:rPr>
      </w:pPr>
      <w:bookmarkStart w:id="0" w:name="_Toc23882"/>
      <w:bookmarkStart w:id="1" w:name="_Toc1930159840"/>
      <w:r>
        <w:rPr>
          <w:rFonts w:hint="eastAsia" w:ascii="仿宋_GB2312" w:hAnsi="仿宋_GB2312" w:eastAsia="仿宋_GB2312" w:cs="仿宋_GB2312"/>
          <w:b/>
          <w:bCs/>
          <w:color w:val="auto"/>
          <w:sz w:val="44"/>
          <w:szCs w:val="44"/>
        </w:rPr>
        <w:t>前 言</w:t>
      </w:r>
      <w:bookmarkEnd w:id="0"/>
      <w:bookmarkEnd w:id="1"/>
    </w:p>
    <w:p>
      <w:pPr>
        <w:pStyle w:val="29"/>
        <w:keepNext w:val="0"/>
        <w:keepLines w:val="0"/>
        <w:pageBreakBefore w:val="0"/>
        <w:widowControl w:val="0"/>
        <w:kinsoku/>
        <w:wordWrap/>
        <w:overflow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2023年4月12日，淮北市人民政府办公室发布《淮北市城市更新暂行办法》（淮政办〔2023〕6号），自2023年5月12日起施行，有效期2年。目前《暂行办法》有效期即将届满，为了全面评估实施成效，总结实施经验，进一步提升决策科学性、民主性、合法性，根据《重大行政决策程序暂行条例》</w:t>
      </w:r>
      <w:r>
        <w:rPr>
          <w:rFonts w:hint="eastAsia" w:ascii="仿宋_GB2312" w:hAnsi="仿宋_GB2312" w:eastAsia="仿宋_GB2312" w:cs="仿宋_GB2312"/>
          <w:color w:val="auto"/>
          <w:sz w:val="32"/>
          <w:szCs w:val="32"/>
          <w:highlight w:val="none"/>
          <w:lang w:val="en-US" w:eastAsia="zh-Hans"/>
        </w:rPr>
        <w:t>《安徽省重大行政决策程序规定》《淮北市人民政府重大行政决策实施情况跟踪反馈与后评估暂行办法》</w:t>
      </w:r>
      <w:r>
        <w:rPr>
          <w:rFonts w:hint="eastAsia" w:ascii="仿宋_GB2312" w:hAnsi="仿宋_GB2312" w:eastAsia="仿宋_GB2312" w:cs="仿宋_GB2312"/>
          <w:color w:val="auto"/>
          <w:sz w:val="32"/>
          <w:szCs w:val="32"/>
          <w:highlight w:val="none"/>
          <w:lang w:val="en-US" w:eastAsia="zh-CN"/>
        </w:rPr>
        <w:t>等相关规定，受淮北市住房和城乡建设局城乡建设管理处委托，我单位开展了</w:t>
      </w:r>
      <w:r>
        <w:rPr>
          <w:rFonts w:hint="eastAsia" w:ascii="仿宋_GB2312" w:hAnsi="仿宋_GB2312" w:eastAsia="仿宋_GB2312" w:cs="仿宋_GB2312"/>
          <w:b w:val="0"/>
          <w:bCs w:val="0"/>
          <w:color w:val="auto"/>
          <w:kern w:val="0"/>
          <w:sz w:val="32"/>
          <w:szCs w:val="32"/>
          <w:highlight w:val="none"/>
          <w:lang w:val="en-US" w:eastAsia="zh-CN" w:bidi="ar-SA"/>
        </w:rPr>
        <w:t>《淮北市城市更新暂行办法》（淮政办〔2023〕6号）</w:t>
      </w:r>
      <w:r>
        <w:rPr>
          <w:rFonts w:hint="eastAsia" w:ascii="仿宋_GB2312" w:hAnsi="仿宋_GB2312" w:eastAsia="仿宋_GB2312" w:cs="仿宋_GB2312"/>
          <w:color w:val="auto"/>
          <w:sz w:val="32"/>
          <w:szCs w:val="32"/>
          <w:highlight w:val="none"/>
          <w:lang w:val="en-US" w:eastAsia="zh-CN"/>
        </w:rPr>
        <w:t>决策实施后评估工作。</w:t>
      </w:r>
    </w:p>
    <w:p>
      <w:pPr>
        <w:pStyle w:val="29"/>
        <w:keepNext w:val="0"/>
        <w:keepLines w:val="0"/>
        <w:pageBreakBefore w:val="0"/>
        <w:widowControl w:val="0"/>
        <w:kinsoku/>
        <w:wordWrap/>
        <w:overflow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Hans"/>
        </w:rPr>
      </w:pPr>
      <w:r>
        <w:rPr>
          <w:rFonts w:hint="eastAsia" w:ascii="仿宋_GB2312" w:hAnsi="仿宋_GB2312" w:eastAsia="仿宋_GB2312" w:cs="仿宋_GB2312"/>
          <w:color w:val="auto"/>
          <w:sz w:val="32"/>
          <w:szCs w:val="32"/>
          <w:highlight w:val="none"/>
          <w:lang w:val="en-US" w:eastAsia="zh-Hans"/>
        </w:rPr>
        <w:t>本次评估活动在</w:t>
      </w:r>
      <w:r>
        <w:rPr>
          <w:rFonts w:hint="eastAsia" w:ascii="仿宋_GB2312" w:hAnsi="仿宋_GB2312" w:eastAsia="仿宋_GB2312" w:cs="仿宋_GB2312"/>
          <w:color w:val="auto"/>
          <w:sz w:val="32"/>
          <w:szCs w:val="32"/>
          <w:highlight w:val="none"/>
          <w:lang w:val="en-US" w:eastAsia="zh-CN"/>
        </w:rPr>
        <w:t>全面收集信息、</w:t>
      </w:r>
      <w:r>
        <w:rPr>
          <w:rFonts w:hint="eastAsia" w:ascii="仿宋_GB2312" w:hAnsi="仿宋_GB2312" w:eastAsia="仿宋_GB2312" w:cs="仿宋_GB2312"/>
          <w:color w:val="auto"/>
          <w:sz w:val="32"/>
          <w:szCs w:val="32"/>
          <w:highlight w:val="none"/>
          <w:lang w:val="en-US" w:eastAsia="zh-Hans"/>
        </w:rPr>
        <w:t>深入调查研究和广泛听取</w:t>
      </w:r>
      <w:r>
        <w:rPr>
          <w:rFonts w:hint="eastAsia" w:ascii="仿宋_GB2312" w:hAnsi="仿宋_GB2312" w:eastAsia="仿宋_GB2312" w:cs="仿宋_GB2312"/>
          <w:color w:val="auto"/>
          <w:sz w:val="32"/>
          <w:szCs w:val="32"/>
          <w:highlight w:val="none"/>
          <w:lang w:val="en-US" w:eastAsia="zh-CN"/>
        </w:rPr>
        <w:t>群众和相关单位</w:t>
      </w:r>
      <w:r>
        <w:rPr>
          <w:rFonts w:hint="eastAsia" w:ascii="仿宋_GB2312" w:hAnsi="仿宋_GB2312" w:eastAsia="仿宋_GB2312" w:cs="仿宋_GB2312"/>
          <w:color w:val="auto"/>
          <w:sz w:val="32"/>
          <w:szCs w:val="32"/>
          <w:highlight w:val="none"/>
          <w:lang w:val="en-US" w:eastAsia="zh-Hans"/>
        </w:rPr>
        <w:t>意见的基础上，对</w:t>
      </w:r>
      <w:r>
        <w:rPr>
          <w:rFonts w:hint="eastAsia" w:ascii="仿宋_GB2312" w:hAnsi="仿宋_GB2312" w:eastAsia="仿宋_GB2312" w:cs="仿宋_GB2312"/>
          <w:color w:val="auto"/>
          <w:sz w:val="32"/>
          <w:szCs w:val="32"/>
          <w:highlight w:val="none"/>
          <w:lang w:val="en-US" w:eastAsia="zh-CN"/>
        </w:rPr>
        <w:t>《暂行办法》</w:t>
      </w:r>
      <w:r>
        <w:rPr>
          <w:rFonts w:hint="eastAsia" w:ascii="仿宋_GB2312" w:hAnsi="仿宋_GB2312" w:eastAsia="仿宋_GB2312" w:cs="仿宋_GB2312"/>
          <w:color w:val="auto"/>
          <w:sz w:val="32"/>
          <w:szCs w:val="32"/>
          <w:highlight w:val="none"/>
          <w:lang w:val="en-US" w:eastAsia="zh-Hans"/>
        </w:rPr>
        <w:t>的合法性、合理性、协调性、操作性、实效性、规范性等方面作了充分的评估</w:t>
      </w:r>
      <w:r>
        <w:rPr>
          <w:rFonts w:hint="eastAsia" w:ascii="仿宋_GB2312" w:hAnsi="仿宋_GB2312" w:eastAsia="仿宋_GB2312" w:cs="仿宋_GB2312"/>
          <w:color w:val="auto"/>
          <w:sz w:val="32"/>
          <w:szCs w:val="32"/>
          <w:highlight w:val="none"/>
          <w:lang w:val="en-US" w:eastAsia="zh-CN"/>
        </w:rPr>
        <w:t>论证</w:t>
      </w:r>
      <w:r>
        <w:rPr>
          <w:rFonts w:hint="eastAsia" w:ascii="仿宋_GB2312" w:hAnsi="仿宋_GB2312" w:eastAsia="仿宋_GB2312" w:cs="仿宋_GB2312"/>
          <w:color w:val="auto"/>
          <w:sz w:val="32"/>
          <w:szCs w:val="32"/>
          <w:highlight w:val="none"/>
          <w:lang w:val="en-US" w:eastAsia="zh-Hans"/>
        </w:rPr>
        <w:t>，形成</w:t>
      </w:r>
      <w:r>
        <w:rPr>
          <w:rFonts w:hint="eastAsia" w:ascii="仿宋_GB2312" w:hAnsi="仿宋_GB2312" w:eastAsia="仿宋_GB2312" w:cs="仿宋_GB2312"/>
          <w:color w:val="auto"/>
          <w:sz w:val="32"/>
          <w:szCs w:val="32"/>
          <w:highlight w:val="none"/>
          <w:lang w:val="en-US" w:eastAsia="zh-CN"/>
        </w:rPr>
        <w:t>本</w:t>
      </w:r>
      <w:r>
        <w:rPr>
          <w:rFonts w:hint="eastAsia" w:ascii="仿宋_GB2312" w:hAnsi="仿宋_GB2312" w:eastAsia="仿宋_GB2312" w:cs="仿宋_GB2312"/>
          <w:color w:val="auto"/>
          <w:sz w:val="32"/>
          <w:szCs w:val="32"/>
          <w:highlight w:val="none"/>
          <w:lang w:val="en-US" w:eastAsia="zh-Hans"/>
        </w:rPr>
        <w:t>报告。</w:t>
      </w:r>
    </w:p>
    <w:p>
      <w:pPr>
        <w:pStyle w:val="29"/>
        <w:keepNext w:val="0"/>
        <w:keepLines w:val="0"/>
        <w:pageBreakBefore w:val="0"/>
        <w:widowControl w:val="0"/>
        <w:kinsoku/>
        <w:wordWrap/>
        <w:overflow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rPr>
      </w:pPr>
    </w:p>
    <w:p>
      <w:pPr>
        <w:pStyle w:val="29"/>
        <w:keepNext w:val="0"/>
        <w:keepLines w:val="0"/>
        <w:pageBreakBefore w:val="0"/>
        <w:widowControl w:val="0"/>
        <w:kinsoku/>
        <w:wordWrap/>
        <w:overflow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rPr>
      </w:pPr>
    </w:p>
    <w:p>
      <w:pPr>
        <w:keepNext w:val="0"/>
        <w:keepLines w:val="0"/>
        <w:pageBreakBefore w:val="0"/>
        <w:widowControl w:val="0"/>
        <w:kinsoku/>
        <w:wordWrap/>
        <w:overflowPunct/>
        <w:topLinePunct w:val="0"/>
        <w:autoSpaceDE/>
        <w:autoSpaceDN/>
        <w:bidi w:val="0"/>
        <w:adjustRightInd/>
        <w:snapToGrid/>
        <w:spacing w:line="560" w:lineRule="exact"/>
        <w:ind w:right="0" w:rightChars="0"/>
        <w:jc w:val="right"/>
        <w:textAlignment w:val="auto"/>
        <w:outlineLvl w:val="9"/>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安徽相皖国泰风险管理咨询有限公司</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4800" w:firstLineChars="1500"/>
        <w:jc w:val="both"/>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202</w:t>
      </w:r>
      <w:r>
        <w:rPr>
          <w:rFonts w:hint="eastAsia" w:ascii="仿宋_GB2312" w:hAnsi="仿宋_GB2312" w:eastAsia="仿宋_GB2312" w:cs="仿宋_GB2312"/>
          <w:color w:val="auto"/>
          <w:sz w:val="32"/>
          <w:szCs w:val="32"/>
          <w:highlight w:val="none"/>
          <w:lang w:val="en-US" w:eastAsia="zh-CN"/>
        </w:rPr>
        <w:t>5</w:t>
      </w:r>
      <w:r>
        <w:rPr>
          <w:rFonts w:hint="eastAsia" w:ascii="仿宋_GB2312" w:hAnsi="仿宋_GB2312" w:eastAsia="仿宋_GB2312" w:cs="仿宋_GB2312"/>
          <w:color w:val="auto"/>
          <w:sz w:val="32"/>
          <w:szCs w:val="32"/>
          <w:highlight w:val="none"/>
        </w:rPr>
        <w:t>年</w:t>
      </w:r>
      <w:r>
        <w:rPr>
          <w:rFonts w:hint="eastAsia" w:ascii="仿宋_GB2312" w:hAnsi="仿宋_GB2312" w:eastAsia="仿宋_GB2312" w:cs="仿宋_GB2312"/>
          <w:color w:val="auto"/>
          <w:sz w:val="32"/>
          <w:szCs w:val="32"/>
          <w:highlight w:val="none"/>
          <w:lang w:val="en-US" w:eastAsia="zh-CN"/>
        </w:rPr>
        <w:t>4</w:t>
      </w:r>
      <w:r>
        <w:rPr>
          <w:rFonts w:hint="eastAsia" w:ascii="仿宋_GB2312" w:hAnsi="仿宋_GB2312" w:eastAsia="仿宋_GB2312" w:cs="仿宋_GB2312"/>
          <w:color w:val="auto"/>
          <w:sz w:val="32"/>
          <w:szCs w:val="32"/>
          <w:highlight w:val="none"/>
        </w:rPr>
        <w:t>月</w:t>
      </w:r>
      <w:r>
        <w:rPr>
          <w:rFonts w:hint="eastAsia" w:ascii="仿宋_GB2312" w:hAnsi="仿宋_GB2312" w:eastAsia="仿宋_GB2312" w:cs="仿宋_GB2312"/>
          <w:color w:val="auto"/>
          <w:sz w:val="32"/>
          <w:szCs w:val="32"/>
          <w:highlight w:val="none"/>
          <w:lang w:val="en-US" w:eastAsia="zh-CN"/>
        </w:rPr>
        <w:t>28</w:t>
      </w:r>
      <w:r>
        <w:rPr>
          <w:rFonts w:hint="eastAsia" w:ascii="仿宋_GB2312" w:hAnsi="仿宋_GB2312" w:eastAsia="仿宋_GB2312" w:cs="仿宋_GB2312"/>
          <w:color w:val="auto"/>
          <w:sz w:val="32"/>
          <w:szCs w:val="32"/>
          <w:highlight w:val="none"/>
        </w:rPr>
        <w:t>日</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891" w:firstLineChars="1841"/>
        <w:jc w:val="center"/>
        <w:textAlignment w:val="auto"/>
        <w:rPr>
          <w:rFonts w:hint="eastAsia" w:ascii="仿宋_GB2312" w:hAnsi="仿宋_GB2312" w:eastAsia="仿宋_GB2312" w:cs="仿宋_GB2312"/>
          <w:color w:val="auto"/>
          <w:sz w:val="32"/>
          <w:szCs w:val="32"/>
          <w:highlight w:val="none"/>
        </w:rPr>
        <w:sectPr>
          <w:headerReference r:id="rId4" w:type="default"/>
          <w:footerReference r:id="rId5" w:type="default"/>
          <w:pgSz w:w="11906" w:h="16838"/>
          <w:pgMar w:top="1440" w:right="1800" w:bottom="1440" w:left="1800" w:header="992" w:footer="992" w:gutter="0"/>
          <w:pgBorders>
            <w:top w:val="none" w:sz="0" w:space="0"/>
            <w:left w:val="none" w:sz="0" w:space="0"/>
            <w:bottom w:val="none" w:sz="0" w:space="0"/>
            <w:right w:val="none" w:sz="0" w:space="0"/>
          </w:pgBorders>
          <w:pgNumType w:start="1"/>
          <w:cols w:space="0" w:num="1"/>
          <w:rtlGutter w:val="0"/>
          <w:docGrid w:type="lines" w:linePitch="317" w:charSpace="0"/>
        </w:sectPr>
      </w:pPr>
      <w:r>
        <w:rPr>
          <w:rFonts w:hint="eastAsia" w:ascii="仿宋_GB2312" w:hAnsi="仿宋_GB2312" w:eastAsia="仿宋_GB2312" w:cs="仿宋_GB2312"/>
          <w:color w:val="auto"/>
          <w:sz w:val="32"/>
          <w:szCs w:val="32"/>
          <w:highlight w:val="none"/>
        </w:rPr>
        <w:br w:type="page"/>
      </w:r>
    </w:p>
    <w:p>
      <w:pPr>
        <w:keepNext w:val="0"/>
        <w:keepLines w:val="0"/>
        <w:pageBreakBefore w:val="0"/>
        <w:widowControl w:val="0"/>
        <w:kinsoku/>
        <w:wordWrap/>
        <w:overflowPunct/>
        <w:topLinePunct w:val="0"/>
        <w:autoSpaceDE/>
        <w:autoSpaceDN/>
        <w:bidi w:val="0"/>
        <w:adjustRightInd/>
        <w:snapToGrid/>
        <w:spacing w:before="318" w:beforeLines="100" w:after="318" w:afterLines="100" w:line="360" w:lineRule="auto"/>
        <w:jc w:val="center"/>
        <w:textAlignment w:val="auto"/>
        <w:rPr>
          <w:rFonts w:hint="eastAsia" w:ascii="仿宋_GB2312" w:hAnsi="仿宋_GB2312" w:eastAsia="仿宋_GB2312" w:cs="仿宋_GB2312"/>
          <w:b/>
          <w:bCs/>
          <w:color w:val="auto"/>
          <w:sz w:val="44"/>
          <w:szCs w:val="44"/>
        </w:rPr>
      </w:pPr>
      <w:bookmarkStart w:id="2" w:name="_Toc308459298"/>
      <w:bookmarkStart w:id="3" w:name="_Toc24884"/>
      <w:r>
        <w:rPr>
          <w:rFonts w:hint="eastAsia" w:ascii="仿宋_GB2312" w:hAnsi="仿宋_GB2312" w:eastAsia="仿宋_GB2312" w:cs="仿宋_GB2312"/>
          <w:b/>
          <w:bCs/>
          <w:color w:val="auto"/>
          <w:sz w:val="44"/>
          <w:szCs w:val="44"/>
        </w:rPr>
        <w:t>目 录</w:t>
      </w:r>
      <w:bookmarkEnd w:id="2"/>
      <w:bookmarkEnd w:id="3"/>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b w:val="0"/>
          <w:color w:val="auto"/>
          <w:sz w:val="32"/>
          <w:szCs w:val="32"/>
          <w:highlight w:val="none"/>
        </w:rPr>
        <w:fldChar w:fldCharType="begin"/>
      </w:r>
      <w:r>
        <w:rPr>
          <w:rFonts w:hint="default" w:ascii="Times New Roman" w:hAnsi="Times New Roman" w:eastAsia="宋体" w:cs="Times New Roman"/>
          <w:b w:val="0"/>
          <w:color w:val="auto"/>
          <w:sz w:val="32"/>
          <w:szCs w:val="32"/>
          <w:highlight w:val="none"/>
        </w:rPr>
        <w:instrText xml:space="preserve">TOC \o "1-2" \h \u </w:instrText>
      </w:r>
      <w:r>
        <w:rPr>
          <w:rFonts w:hint="default" w:ascii="Times New Roman" w:hAnsi="Times New Roman" w:eastAsia="宋体" w:cs="Times New Roman"/>
          <w:b w:val="0"/>
          <w:color w:val="auto"/>
          <w:sz w:val="32"/>
          <w:szCs w:val="32"/>
          <w:highlight w:val="none"/>
        </w:rPr>
        <w:fldChar w:fldCharType="separate"/>
      </w: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_Toc1326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lang w:val="en-US" w:eastAsia="zh-CN"/>
        </w:rPr>
        <w:t>1 后评估对象</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_Toc1326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1</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_Toc21217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1.1 概况</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_Toc21217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1</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_Toc18643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1.2 决策背景</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_Toc18643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3</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_Toc19790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1.3 决策执行基本情况</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_Toc19790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5</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_Toc17048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kern w:val="2"/>
          <w:sz w:val="32"/>
          <w:szCs w:val="32"/>
          <w:highlight w:val="none"/>
          <w:lang w:val="en-US" w:eastAsia="zh-CN" w:bidi="ar-SA"/>
        </w:rPr>
        <w:t>2 后评估基本情况</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_Toc17048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14</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_Toc31098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2.1 后评估依据</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_Toc31098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14</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_Toc29639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2.2 后评估准备阶段</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_Toc29639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15</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_Toc15992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2.3 后评估实施阶段</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_Toc15992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20</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_Toc11854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2.4 后评估形成结论阶段</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_Toc11854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20</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_Toc14590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kern w:val="2"/>
          <w:sz w:val="32"/>
          <w:szCs w:val="32"/>
          <w:highlight w:val="none"/>
          <w:lang w:val="en-US" w:eastAsia="zh-CN" w:bidi="ar-SA"/>
        </w:rPr>
        <w:t>3 调研成果</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_Toc14590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21</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_Toc27783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3.1 实地调研</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_Toc27783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21</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_Toc28820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3.2 问卷调查</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_Toc28820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26</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_Toc31777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3.3 征求意见座谈会</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_Toc31777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35</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_Toc30540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bCs/>
          <w:kern w:val="2"/>
          <w:sz w:val="32"/>
          <w:szCs w:val="32"/>
          <w:highlight w:val="none"/>
          <w:lang w:val="en-US" w:eastAsia="zh-CN" w:bidi="ar-SA"/>
        </w:rPr>
        <w:t>3.4 舆情分析</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_Toc30540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38</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_Toc15749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4 后评估内容</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_Toc15749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39</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_Toc20513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4.1 合法性评估</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_Toc20513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40</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_Toc808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4.2 合理性评估</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_Toc808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41</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_Toc6514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4.3 协调性评估</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_Toc6514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43</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_Toc14505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4.4 操作性评估</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_Toc14505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45</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_Toc9268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4.5 实效性评估</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_Toc9268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47</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_Toc30642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4.6 规范性评估</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_Toc30642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49</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_Toc9677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5 决策实施存在问题及建议</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_Toc9677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51</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_Toc8425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5.1 存在的问题</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_Toc8425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51</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7"/>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_Toc25020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5.2 意见建议</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_Toc25020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52</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_Toc382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6 评估结论</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_Toc382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54</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_Toc20850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7 报告论证情况</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_Toc20850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55</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16"/>
        <w:tabs>
          <w:tab w:val="right" w:leader="dot" w:pos="8306"/>
        </w:tabs>
        <w:rPr>
          <w:rFonts w:hint="default" w:ascii="Times New Roman" w:hAnsi="Times New Roman" w:eastAsia="宋体" w:cs="Times New Roman"/>
          <w:sz w:val="32"/>
          <w:szCs w:val="32"/>
        </w:rPr>
      </w:pPr>
      <w:r>
        <w:rPr>
          <w:rFonts w:hint="default" w:ascii="Times New Roman" w:hAnsi="Times New Roman" w:eastAsia="宋体" w:cs="Times New Roman"/>
          <w:color w:val="auto"/>
          <w:sz w:val="32"/>
          <w:szCs w:val="32"/>
          <w:highlight w:val="none"/>
        </w:rPr>
        <w:fldChar w:fldCharType="begin"/>
      </w:r>
      <w:r>
        <w:rPr>
          <w:rFonts w:hint="default" w:ascii="Times New Roman" w:hAnsi="Times New Roman" w:eastAsia="宋体" w:cs="Times New Roman"/>
          <w:sz w:val="32"/>
          <w:szCs w:val="32"/>
          <w:highlight w:val="none"/>
        </w:rPr>
        <w:instrText xml:space="preserve"> HYPERLINK \l _Toc4634 </w:instrText>
      </w:r>
      <w:r>
        <w:rPr>
          <w:rFonts w:hint="default" w:ascii="Times New Roman" w:hAnsi="Times New Roman" w:eastAsia="宋体" w:cs="Times New Roman"/>
          <w:sz w:val="32"/>
          <w:szCs w:val="32"/>
          <w:highlight w:val="none"/>
        </w:rPr>
        <w:fldChar w:fldCharType="separate"/>
      </w:r>
      <w:r>
        <w:rPr>
          <w:rFonts w:hint="default" w:ascii="Times New Roman" w:hAnsi="Times New Roman" w:eastAsia="宋体" w:cs="Times New Roman"/>
          <w:sz w:val="32"/>
          <w:szCs w:val="32"/>
          <w:highlight w:val="none"/>
          <w:lang w:val="en-US" w:eastAsia="zh-CN"/>
        </w:rPr>
        <w:t>附 件</w:t>
      </w:r>
      <w:r>
        <w:rPr>
          <w:rFonts w:hint="default" w:ascii="Times New Roman" w:hAnsi="Times New Roman" w:eastAsia="宋体" w:cs="Times New Roman"/>
          <w:sz w:val="32"/>
          <w:szCs w:val="32"/>
        </w:rPr>
        <w:tab/>
      </w:r>
      <w:r>
        <w:rPr>
          <w:rFonts w:hint="default" w:ascii="Times New Roman" w:hAnsi="Times New Roman" w:eastAsia="宋体" w:cs="Times New Roman"/>
          <w:sz w:val="32"/>
          <w:szCs w:val="32"/>
        </w:rPr>
        <w:fldChar w:fldCharType="begin"/>
      </w:r>
      <w:r>
        <w:rPr>
          <w:rFonts w:hint="default" w:ascii="Times New Roman" w:hAnsi="Times New Roman" w:eastAsia="宋体" w:cs="Times New Roman"/>
          <w:sz w:val="32"/>
          <w:szCs w:val="32"/>
        </w:rPr>
        <w:instrText xml:space="preserve"> PAGEREF _Toc4634 \h </w:instrText>
      </w:r>
      <w:r>
        <w:rPr>
          <w:rFonts w:hint="default" w:ascii="Times New Roman" w:hAnsi="Times New Roman" w:eastAsia="宋体" w:cs="Times New Roman"/>
          <w:sz w:val="32"/>
          <w:szCs w:val="32"/>
        </w:rPr>
        <w:fldChar w:fldCharType="separate"/>
      </w:r>
      <w:r>
        <w:rPr>
          <w:rFonts w:hint="default" w:ascii="Times New Roman" w:hAnsi="Times New Roman" w:eastAsia="宋体" w:cs="Times New Roman"/>
          <w:sz w:val="32"/>
          <w:szCs w:val="32"/>
        </w:rPr>
        <w:t>58</w:t>
      </w:r>
      <w:r>
        <w:rPr>
          <w:rFonts w:hint="default" w:ascii="Times New Roman" w:hAnsi="Times New Roman" w:eastAsia="宋体" w:cs="Times New Roman"/>
          <w:sz w:val="32"/>
          <w:szCs w:val="32"/>
        </w:rPr>
        <w:fldChar w:fldCharType="end"/>
      </w:r>
      <w:r>
        <w:rPr>
          <w:rFonts w:hint="default" w:ascii="Times New Roman" w:hAnsi="Times New Roman" w:eastAsia="宋体" w:cs="Times New Roman"/>
          <w:color w:val="auto"/>
          <w:sz w:val="32"/>
          <w:szCs w:val="32"/>
          <w:highlight w:val="none"/>
        </w:rPr>
        <w:fldChar w:fldCharType="end"/>
      </w:r>
    </w:p>
    <w:p>
      <w:pPr>
        <w:pStyle w:val="29"/>
        <w:keepNext w:val="0"/>
        <w:keepLines w:val="0"/>
        <w:pageBreakBefore w:val="0"/>
        <w:widowControl w:val="0"/>
        <w:numPr>
          <w:ilvl w:val="0"/>
          <w:numId w:val="0"/>
        </w:numPr>
        <w:kinsoku/>
        <w:wordWrap/>
        <w:overflowPunct/>
        <w:topLinePunct/>
        <w:autoSpaceDE/>
        <w:autoSpaceDN/>
        <w:bidi w:val="0"/>
        <w:adjustRightInd/>
        <w:snapToGrid/>
        <w:spacing w:line="360" w:lineRule="auto"/>
        <w:ind w:leftChars="200"/>
        <w:textAlignment w:val="auto"/>
        <w:rPr>
          <w:rFonts w:hint="eastAsia" w:ascii="仿宋_GB2312" w:hAnsi="仿宋_GB2312" w:eastAsia="仿宋_GB2312" w:cs="仿宋_GB2312"/>
          <w:color w:val="auto"/>
          <w:sz w:val="32"/>
          <w:szCs w:val="32"/>
          <w:highlight w:val="none"/>
          <w:lang w:val="en-NZ" w:eastAsia="zh-CN"/>
        </w:rPr>
        <w:sectPr>
          <w:headerReference r:id="rId6" w:type="default"/>
          <w:footerReference r:id="rId7" w:type="default"/>
          <w:pgSz w:w="11906" w:h="16838"/>
          <w:pgMar w:top="1440" w:right="1800" w:bottom="1440" w:left="1800" w:header="992" w:footer="992" w:gutter="0"/>
          <w:pgBorders>
            <w:top w:val="none" w:sz="0" w:space="0"/>
            <w:left w:val="none" w:sz="0" w:space="0"/>
            <w:bottom w:val="none" w:sz="0" w:space="0"/>
            <w:right w:val="none" w:sz="0" w:space="0"/>
          </w:pgBorders>
          <w:pgNumType w:start="1"/>
          <w:cols w:space="0" w:num="1"/>
          <w:rtlGutter w:val="0"/>
          <w:docGrid w:type="lines" w:linePitch="317" w:charSpace="0"/>
        </w:sectPr>
      </w:pPr>
      <w:r>
        <w:rPr>
          <w:rFonts w:hint="default" w:ascii="Times New Roman" w:hAnsi="Times New Roman" w:eastAsia="宋体" w:cs="Times New Roman"/>
          <w:color w:val="auto"/>
          <w:sz w:val="32"/>
          <w:szCs w:val="32"/>
          <w:highlight w:val="none"/>
        </w:rPr>
        <w:fldChar w:fldCharType="end"/>
      </w:r>
    </w:p>
    <w:p>
      <w:pPr>
        <w:pStyle w:val="2"/>
        <w:bidi w:val="0"/>
        <w:rPr>
          <w:rFonts w:hint="default"/>
          <w:color w:val="auto"/>
          <w:lang w:val="en-US" w:eastAsia="zh-CN"/>
        </w:rPr>
      </w:pPr>
      <w:bookmarkStart w:id="4" w:name="_Toc24814"/>
      <w:bookmarkStart w:id="5" w:name="_Toc18917"/>
      <w:bookmarkStart w:id="6" w:name="_Toc461"/>
      <w:bookmarkStart w:id="7" w:name="_Toc31356"/>
      <w:bookmarkStart w:id="8" w:name="_Toc458656060"/>
      <w:bookmarkStart w:id="9" w:name="_Toc415164890"/>
      <w:bookmarkStart w:id="10" w:name="_Toc7603"/>
      <w:bookmarkStart w:id="11" w:name="_Toc3697"/>
      <w:bookmarkStart w:id="12" w:name="_Toc460500361"/>
      <w:bookmarkStart w:id="13" w:name="_Toc21579"/>
      <w:bookmarkStart w:id="14" w:name="_Toc458198514"/>
      <w:bookmarkStart w:id="15" w:name="_Toc410284245"/>
      <w:bookmarkStart w:id="16" w:name="_Toc449996728"/>
      <w:bookmarkStart w:id="17" w:name="_Toc11804"/>
      <w:bookmarkStart w:id="18" w:name="_Toc17729"/>
      <w:bookmarkStart w:id="19" w:name="_Toc24850"/>
      <w:bookmarkStart w:id="20" w:name="_Toc23871"/>
      <w:bookmarkStart w:id="21" w:name="_Toc6091"/>
      <w:bookmarkStart w:id="22" w:name="_Toc9259"/>
      <w:bookmarkStart w:id="23" w:name="_Toc16660"/>
      <w:bookmarkStart w:id="24" w:name="_Toc28872"/>
      <w:bookmarkStart w:id="25" w:name="_Toc460450924"/>
      <w:bookmarkStart w:id="26" w:name="_Toc19993"/>
      <w:bookmarkStart w:id="27" w:name="_Toc399537409"/>
      <w:bookmarkStart w:id="28" w:name="_Toc9877"/>
      <w:bookmarkStart w:id="29" w:name="_Toc399539114"/>
      <w:bookmarkStart w:id="30" w:name="_Toc27698"/>
      <w:bookmarkStart w:id="31" w:name="_Toc384826815"/>
      <w:bookmarkStart w:id="32" w:name="_Toc458198432"/>
      <w:bookmarkStart w:id="33" w:name="_Toc21801"/>
      <w:bookmarkStart w:id="34" w:name="_Toc1326"/>
      <w:bookmarkStart w:id="35" w:name="_Toc449996739"/>
      <w:bookmarkStart w:id="36" w:name="_Toc399539126"/>
      <w:bookmarkStart w:id="37" w:name="_Toc658"/>
      <w:bookmarkStart w:id="38" w:name="_Toc415164905"/>
      <w:bookmarkStart w:id="39" w:name="_Toc21815"/>
      <w:bookmarkStart w:id="40" w:name="_Toc399537421"/>
      <w:bookmarkStart w:id="41" w:name="_Toc384826825"/>
      <w:bookmarkStart w:id="42" w:name="_Toc22122"/>
      <w:bookmarkStart w:id="43" w:name="_Toc139193903"/>
      <w:bookmarkStart w:id="44" w:name="_Toc226857238"/>
      <w:bookmarkStart w:id="45" w:name="_Toc5354"/>
      <w:bookmarkStart w:id="46" w:name="_Toc9776"/>
      <w:bookmarkStart w:id="47" w:name="_Toc410284259"/>
      <w:bookmarkStart w:id="48" w:name="_Toc13223"/>
      <w:bookmarkStart w:id="49" w:name="_Toc13925"/>
      <w:bookmarkStart w:id="50" w:name="_Toc14578"/>
      <w:bookmarkStart w:id="51" w:name="_Toc8283"/>
      <w:r>
        <w:rPr>
          <w:rFonts w:hint="default"/>
          <w:color w:val="auto"/>
          <w:lang w:val="en-US" w:eastAsia="zh-CN"/>
        </w:rPr>
        <w:t xml:space="preserve">1 </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Pr>
          <w:rFonts w:hint="default"/>
          <w:color w:val="auto"/>
          <w:lang w:val="en-US" w:eastAsia="zh-CN"/>
        </w:rPr>
        <w:t>后评估对象</w:t>
      </w:r>
      <w:bookmarkEnd w:id="34"/>
    </w:p>
    <w:p>
      <w:pPr>
        <w:keepNext/>
        <w:keepLines/>
        <w:widowControl w:val="0"/>
        <w:bidi w:val="0"/>
        <w:snapToGrid/>
        <w:spacing w:before="100" w:beforeLines="100" w:after="100" w:afterLines="100" w:line="360" w:lineRule="auto"/>
        <w:jc w:val="center"/>
        <w:outlineLvl w:val="1"/>
        <w:rPr>
          <w:rFonts w:hint="eastAsia" w:ascii="Times New Roman" w:hAnsi="Times New Roman" w:eastAsia="FangSong_GB2312" w:cs="Times New Roman"/>
          <w:b/>
          <w:bCs/>
          <w:color w:val="auto"/>
          <w:kern w:val="2"/>
          <w:sz w:val="36"/>
          <w:szCs w:val="32"/>
          <w:highlight w:val="none"/>
          <w:lang w:val="en-US" w:eastAsia="zh-CN" w:bidi="ar-SA"/>
        </w:rPr>
      </w:pPr>
      <w:bookmarkStart w:id="52" w:name="_Toc26565"/>
      <w:bookmarkStart w:id="53" w:name="_Toc23640"/>
      <w:bookmarkStart w:id="54" w:name="_Toc21217"/>
      <w:r>
        <w:rPr>
          <w:rFonts w:hint="eastAsia" w:ascii="Times New Roman" w:hAnsi="Times New Roman" w:eastAsia="FangSong_GB2312" w:cs="Times New Roman"/>
          <w:b/>
          <w:bCs/>
          <w:color w:val="auto"/>
          <w:kern w:val="2"/>
          <w:sz w:val="36"/>
          <w:szCs w:val="32"/>
          <w:highlight w:val="none"/>
          <w:lang w:val="en-US" w:eastAsia="zh-CN" w:bidi="ar-SA"/>
        </w:rPr>
        <w:t xml:space="preserve">1.1 </w:t>
      </w:r>
      <w:bookmarkEnd w:id="52"/>
      <w:bookmarkEnd w:id="53"/>
      <w:r>
        <w:rPr>
          <w:rFonts w:hint="eastAsia" w:ascii="Times New Roman" w:hAnsi="Times New Roman" w:eastAsia="FangSong_GB2312" w:cs="Times New Roman"/>
          <w:b/>
          <w:bCs/>
          <w:color w:val="auto"/>
          <w:kern w:val="2"/>
          <w:sz w:val="36"/>
          <w:szCs w:val="32"/>
          <w:highlight w:val="none"/>
          <w:lang w:val="en-US" w:eastAsia="zh-CN" w:bidi="ar-SA"/>
        </w:rPr>
        <w:t>概况</w:t>
      </w:r>
      <w:bookmarkEnd w:id="54"/>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一、后评估对象：</w:t>
      </w:r>
      <w:r>
        <w:rPr>
          <w:rFonts w:hint="eastAsia" w:ascii="仿宋_GB2312" w:hAnsi="仿宋_GB2312" w:eastAsia="仿宋_GB2312" w:cs="仿宋_GB2312"/>
          <w:b w:val="0"/>
          <w:bCs w:val="0"/>
          <w:color w:val="auto"/>
          <w:kern w:val="0"/>
          <w:sz w:val="32"/>
          <w:szCs w:val="32"/>
          <w:highlight w:val="none"/>
          <w:lang w:val="en-US" w:eastAsia="zh-CN" w:bidi="ar-SA"/>
        </w:rPr>
        <w:t>《淮北市城市更新暂行办法》（淮政办〔2023〕6号）（以下简称《暂行办法》）</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2" w:firstLineChars="200"/>
        <w:jc w:val="both"/>
        <w:textAlignment w:val="auto"/>
        <w:rPr>
          <w:rFonts w:hint="default"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二、决策主体：</w:t>
      </w:r>
      <w:r>
        <w:rPr>
          <w:rFonts w:hint="eastAsia" w:ascii="仿宋_GB2312" w:hAnsi="仿宋_GB2312" w:eastAsia="仿宋_GB2312" w:cs="仿宋_GB2312"/>
          <w:b w:val="0"/>
          <w:bCs w:val="0"/>
          <w:color w:val="auto"/>
          <w:kern w:val="0"/>
          <w:sz w:val="32"/>
          <w:szCs w:val="32"/>
          <w:highlight w:val="none"/>
          <w:lang w:val="en-US" w:eastAsia="zh-CN" w:bidi="ar-SA"/>
        </w:rPr>
        <w:t>淮北市人民政府</w:t>
      </w:r>
    </w:p>
    <w:p>
      <w:pPr>
        <w:keepNext w:val="0"/>
        <w:keepLines w:val="0"/>
        <w:pageBreakBefore w:val="0"/>
        <w:widowControl w:val="0"/>
        <w:kinsoku/>
        <w:wordWrap/>
        <w:overflowPunct/>
        <w:topLinePunct w:val="0"/>
        <w:autoSpaceDE/>
        <w:autoSpaceDN/>
        <w:bidi w:val="0"/>
        <w:adjustRightInd/>
        <w:snapToGrid/>
        <w:spacing w:line="560" w:lineRule="exact"/>
        <w:ind w:firstLine="642" w:firstLineChars="200"/>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bCs/>
          <w:color w:val="auto"/>
          <w:sz w:val="32"/>
          <w:szCs w:val="32"/>
          <w:highlight w:val="none"/>
          <w:lang w:val="en-US" w:eastAsia="zh-CN"/>
        </w:rPr>
        <w:t>三、决策目标：</w:t>
      </w:r>
      <w:r>
        <w:rPr>
          <w:rFonts w:hint="eastAsia" w:ascii="仿宋_GB2312" w:hAnsi="仿宋_GB2312" w:eastAsia="仿宋_GB2312" w:cs="仿宋_GB2312"/>
          <w:b w:val="0"/>
          <w:bCs w:val="0"/>
          <w:color w:val="auto"/>
          <w:kern w:val="0"/>
          <w:sz w:val="32"/>
          <w:szCs w:val="32"/>
          <w:highlight w:val="none"/>
          <w:lang w:val="en-US" w:eastAsia="zh-CN" w:bidi="ar-SA"/>
        </w:rPr>
        <w:t>对已建成区域（包括旧工业区、旧商业区、旧住宅区、城中村等）及城市重点区域内城市空间形态和功能进行整治、改善、优化，实行“留、改、拆、建”并举的更新模式，实现房屋使用、市政设施、公建配套、城市生态修复、城市风貌塑造、新产业新业态融合发展等全面完善，产业结构、环境品质、文化传承、教育科技、商业业态等方面的全面提升。</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2"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四、主要内容</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《暂行办法》包含“总则、工作机制、规划与计划、项目实施、资金筹措、支持政策、附则”七章内容，共三十四条。</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第一章“总则”。主要指出《暂行办法》适用于我市建成区范围，明确城市更新是对已建成区域和城市重点区域内的空间形态和功能进行整治、改善、优化，实行“留、改、拆、建”并举的更新模式及“生态优先、产业融合；少拆多改、注重传承；政府引导、区级实施、市场运作；尊重公众意愿，持续推进实施”的工作原则。</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第二章“工作机制”。主要介绍我市城市更新行动领导小组职责，规定各区政府是本辖区内城市更新改造工作的责任主体。明确市住房城乡建设部门和各相关部门职责，专家咨询和公众参与机制等。</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第三章“规划与计划”。明确城市更新专项规划、单元片区更新方案、项目库、计划编制、管理要求等。</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第四章“项目实施”。明确项目实施主体责任，实施方案的编制内容，要求相关部门按照“放管服”改革和优化营商环境的要求，城市更新项目的立项、用地、规划、施工许可等审批，要进一步简化材料、优化环节，要严守国家和省市相关规定，防止大拆大建。</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第五章“资金筹措”。明确城市更新资金的多渠道来源和利用，指出城市更新的资金来源具体包括：“各级财政资金、金融机构融资、市场主体投资、土地使用权人和房屋所有权人自筹资金和其他资金等”，财政部门负责城市更新项目债务风险管理工作。鼓励金融机构支持城市更新项目，以满足城市更新的资金需求。</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第六章“支持政策”。在国家、省、市现有政策基础上，通过政策组合和优化，明确土地、规划、不动产登记、征收安置、税费等方面的支持政策，更好地服务于城市更新项目推进。</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第七章“附则”。对责任追究、考核机制和实施时间进行明确，指出《暂行办法》自2023年5月12日起施行，有效期两年。</w:t>
      </w:r>
    </w:p>
    <w:p>
      <w:pPr>
        <w:keepNext w:val="0"/>
        <w:keepLines w:val="0"/>
        <w:pageBreakBefore w:val="0"/>
        <w:widowControl w:val="0"/>
        <w:numPr>
          <w:ilvl w:val="0"/>
          <w:numId w:val="1"/>
        </w:numPr>
        <w:kinsoku/>
        <w:wordWrap/>
        <w:overflowPunct/>
        <w:topLinePunct/>
        <w:autoSpaceDE/>
        <w:autoSpaceDN/>
        <w:bidi w:val="0"/>
        <w:adjustRightInd/>
        <w:snapToGrid/>
        <w:spacing w:line="560" w:lineRule="exact"/>
        <w:ind w:left="0" w:leftChars="0" w:firstLine="642"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bCs/>
          <w:color w:val="auto"/>
          <w:kern w:val="0"/>
          <w:sz w:val="32"/>
          <w:szCs w:val="32"/>
          <w:highlight w:val="none"/>
          <w:lang w:val="en-US" w:eastAsia="zh-CN" w:bidi="ar-SA"/>
        </w:rPr>
        <w:t>创新举措</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一是坚持“留改拆”并举，科学确定城市更新内容。城市更新工作注重对城市空间形态和功能进行保护、整治、改善、优化，补齐城市基础设施和公共服务设施短板，完善城市空间结构，改善城市人居环境，塑造城市特色风貌。</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二是提出土地、规划等支持政策。创新土地供应政策，根据城市更新地块具体情况，除法律规定必须采取招标、拍卖、挂牌方式出让的，经市政府同意，可以采取协议出让方式供应土地。</w:t>
      </w:r>
    </w:p>
    <w:p>
      <w:pPr>
        <w:keepNext w:val="0"/>
        <w:keepLines w:val="0"/>
        <w:pageBreakBefore w:val="0"/>
        <w:widowControl w:val="0"/>
        <w:numPr>
          <w:ilvl w:val="0"/>
          <w:numId w:val="1"/>
        </w:numPr>
        <w:kinsoku/>
        <w:wordWrap/>
        <w:overflowPunct/>
        <w:topLinePunct/>
        <w:autoSpaceDE/>
        <w:autoSpaceDN/>
        <w:bidi w:val="0"/>
        <w:adjustRightInd/>
        <w:snapToGrid/>
        <w:spacing w:line="560" w:lineRule="exact"/>
        <w:ind w:left="0" w:leftChars="0" w:firstLine="642"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实施保障：</w:t>
      </w:r>
      <w:r>
        <w:rPr>
          <w:rFonts w:hint="eastAsia" w:ascii="仿宋_GB2312" w:hAnsi="仿宋_GB2312" w:eastAsia="仿宋_GB2312" w:cs="仿宋_GB2312"/>
          <w:b w:val="0"/>
          <w:bCs w:val="0"/>
          <w:color w:val="auto"/>
          <w:kern w:val="0"/>
          <w:sz w:val="32"/>
          <w:szCs w:val="32"/>
          <w:highlight w:val="none"/>
          <w:lang w:val="en-US" w:eastAsia="zh-CN" w:bidi="ar-SA"/>
        </w:rPr>
        <w:t>包括加强组织领导、压实工作责任、强化规划引领、完善制度供给、创新融资机制、坚持系统推进、加强项目调度等七个方面。</w:t>
      </w:r>
    </w:p>
    <w:p>
      <w:pPr>
        <w:keepNext/>
        <w:keepLines/>
        <w:widowControl w:val="0"/>
        <w:bidi w:val="0"/>
        <w:snapToGrid/>
        <w:spacing w:before="100" w:beforeLines="100" w:after="100" w:afterLines="100" w:line="360" w:lineRule="auto"/>
        <w:jc w:val="center"/>
        <w:outlineLvl w:val="1"/>
        <w:rPr>
          <w:rFonts w:hint="eastAsia" w:ascii="Times New Roman" w:hAnsi="Times New Roman" w:eastAsia="FangSong_GB2312" w:cs="Times New Roman"/>
          <w:b/>
          <w:bCs/>
          <w:color w:val="auto"/>
          <w:kern w:val="2"/>
          <w:sz w:val="36"/>
          <w:szCs w:val="32"/>
          <w:highlight w:val="none"/>
          <w:lang w:val="en-US" w:eastAsia="zh-CN" w:bidi="ar-SA"/>
        </w:rPr>
      </w:pPr>
      <w:bookmarkStart w:id="55" w:name="_Toc18643"/>
      <w:r>
        <w:rPr>
          <w:rFonts w:hint="eastAsia" w:ascii="Times New Roman" w:hAnsi="Times New Roman" w:eastAsia="FangSong_GB2312" w:cs="Times New Roman"/>
          <w:b/>
          <w:bCs/>
          <w:color w:val="auto"/>
          <w:kern w:val="2"/>
          <w:sz w:val="36"/>
          <w:szCs w:val="32"/>
          <w:highlight w:val="none"/>
          <w:lang w:val="en-US" w:eastAsia="zh-CN" w:bidi="ar-SA"/>
        </w:rPr>
        <w:t xml:space="preserve">1.2 </w:t>
      </w:r>
      <w:r>
        <w:rPr>
          <w:rFonts w:hint="eastAsia" w:eastAsia="FangSong_GB2312" w:cs="Times New Roman"/>
          <w:b/>
          <w:bCs/>
          <w:color w:val="auto"/>
          <w:kern w:val="2"/>
          <w:sz w:val="36"/>
          <w:szCs w:val="32"/>
          <w:highlight w:val="none"/>
          <w:lang w:val="en-US" w:eastAsia="zh-CN" w:bidi="ar-SA"/>
        </w:rPr>
        <w:t>决策</w:t>
      </w:r>
      <w:r>
        <w:rPr>
          <w:rFonts w:hint="eastAsia" w:ascii="Times New Roman" w:hAnsi="Times New Roman" w:eastAsia="FangSong_GB2312" w:cs="Times New Roman"/>
          <w:b/>
          <w:bCs/>
          <w:color w:val="auto"/>
          <w:kern w:val="2"/>
          <w:sz w:val="36"/>
          <w:szCs w:val="32"/>
          <w:highlight w:val="none"/>
          <w:lang w:val="en-US" w:eastAsia="zh-CN" w:bidi="ar-SA"/>
        </w:rPr>
        <w:t>背景</w:t>
      </w:r>
      <w:bookmarkEnd w:id="55"/>
    </w:p>
    <w:p>
      <w:pPr>
        <w:keepNext/>
        <w:keepLines/>
        <w:widowControl w:val="0"/>
        <w:bidi w:val="0"/>
        <w:spacing w:before="50" w:beforeLines="50" w:after="50" w:afterLines="50" w:line="360" w:lineRule="auto"/>
        <w:jc w:val="both"/>
        <w:outlineLvl w:val="2"/>
        <w:rPr>
          <w:rFonts w:hint="eastAsia"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1.2.1 决策背景</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2019年12月，中央经济工作会议首次强调了</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城市更新”这</w:t>
      </w:r>
      <w:r>
        <w:rPr>
          <w:rFonts w:hint="eastAsia" w:ascii="仿宋_GB2312" w:hAnsi="仿宋_GB2312" w:eastAsia="仿宋_GB2312" w:cs="仿宋_GB2312"/>
          <w:b w:val="0"/>
          <w:bCs w:val="0"/>
          <w:color w:val="auto"/>
          <w:kern w:val="0"/>
          <w:sz w:val="32"/>
          <w:szCs w:val="32"/>
          <w:highlight w:val="none"/>
          <w:lang w:val="en-US" w:eastAsia="zh-CN" w:bidi="ar-SA"/>
        </w:rPr>
        <w:t>一概念，</w:t>
      </w:r>
      <w:r>
        <w:rPr>
          <w:rFonts w:hint="default" w:ascii="仿宋_GB2312" w:hAnsi="仿宋_GB2312" w:eastAsia="仿宋_GB2312" w:cs="仿宋_GB2312"/>
          <w:b w:val="0"/>
          <w:bCs w:val="0"/>
          <w:color w:val="auto"/>
          <w:kern w:val="0"/>
          <w:sz w:val="32"/>
          <w:szCs w:val="32"/>
          <w:highlight w:val="none"/>
          <w:lang w:val="en-US" w:eastAsia="zh-CN" w:bidi="ar-SA"/>
        </w:rPr>
        <w:t>2020年党的十九届五中全会通过的《中共中央关于制定国民经济和社会发展第十四个五年规划和二〇三五年远景目标的建议》明确提出实施城市更新行动</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2021年10月，安徽省人民政府办公厅发布《关于实施城市更新行动推动城市高质量发展实施方案》（皖政办﹝2021﹞13号），提出各市、县人民政府要落实主体责任，加快形成一整套与城市更新相适应的体制机制和政策体系</w:t>
      </w:r>
      <w:r>
        <w:rPr>
          <w:rFonts w:hint="eastAsia" w:ascii="仿宋_GB2312" w:hAnsi="仿宋_GB2312" w:eastAsia="仿宋_GB2312" w:cs="仿宋_GB2312"/>
          <w:b w:val="0"/>
          <w:bCs w:val="0"/>
          <w:color w:val="auto"/>
          <w:kern w:val="0"/>
          <w:sz w:val="32"/>
          <w:szCs w:val="32"/>
          <w:highlight w:val="none"/>
          <w:lang w:val="en-US" w:eastAsia="zh-CN" w:bidi="ar-SA"/>
        </w:rPr>
        <w:t>。2021年12月，淮北市人民政府办公室发布《淮北市城市更新行动实施方案》，明确了淮北市城市更新工作目标及主要任务。</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为进一步完善淮北市城市更新工作的制度体系，规范城市更新业务行为，明确操作流程和支持政策，《淮北市城市更新暂行办法》（淮政办〔2023〕6号）于2023年印发施行。此后</w:t>
      </w:r>
      <w:r>
        <w:rPr>
          <w:rFonts w:hint="default" w:ascii="Times New Roman" w:hAnsi="Times New Roman" w:eastAsia="仿宋_GB2312" w:cs="Times New Roman"/>
          <w:color w:val="auto"/>
          <w:kern w:val="0"/>
          <w:sz w:val="32"/>
          <w:szCs w:val="32"/>
          <w:lang w:val="en-US" w:eastAsia="zh-CN" w:bidi="ar-SA"/>
        </w:rPr>
        <w:t>国家、省相继出台了一系列政策文件，对城市更新中的规划编制、管理职责、实施机制、政策支持等提出了新要求</w:t>
      </w:r>
      <w:r>
        <w:rPr>
          <w:rFonts w:hint="eastAsia" w:eastAsia="仿宋_GB2312" w:cs="Times New Roman"/>
          <w:color w:val="auto"/>
          <w:kern w:val="0"/>
          <w:sz w:val="32"/>
          <w:szCs w:val="32"/>
          <w:lang w:val="en-US" w:eastAsia="zh-CN" w:bidi="ar-SA"/>
        </w:rPr>
        <w:t>，</w:t>
      </w:r>
      <w:r>
        <w:rPr>
          <w:rFonts w:hint="default" w:ascii="Times New Roman" w:hAnsi="Times New Roman" w:eastAsia="仿宋_GB2312" w:cs="Times New Roman"/>
          <w:color w:val="auto"/>
          <w:kern w:val="0"/>
          <w:sz w:val="32"/>
          <w:szCs w:val="32"/>
          <w:lang w:val="en-US" w:eastAsia="zh-CN" w:bidi="ar-SA"/>
        </w:rPr>
        <w:t>近年来，我市对城区的规划建设管理机制进行了优化调整。</w:t>
      </w:r>
      <w:r>
        <w:rPr>
          <w:rFonts w:hint="eastAsia" w:ascii="Times New Roman" w:hAnsi="Times New Roman" w:eastAsia="仿宋_GB2312" w:cs="Times New Roman"/>
          <w:color w:val="auto"/>
          <w:kern w:val="0"/>
          <w:sz w:val="32"/>
          <w:szCs w:val="32"/>
          <w:lang w:val="en-US" w:eastAsia="zh-CN" w:bidi="ar-SA"/>
        </w:rPr>
        <w:t>为深入做好落实城市更新目标任务，对</w:t>
      </w:r>
      <w:r>
        <w:rPr>
          <w:rFonts w:hint="eastAsia" w:eastAsia="仿宋_GB2312" w:cs="Times New Roman"/>
          <w:color w:val="auto"/>
          <w:kern w:val="0"/>
          <w:sz w:val="32"/>
          <w:szCs w:val="32"/>
          <w:lang w:val="en-US" w:eastAsia="zh-CN" w:bidi="ar-SA"/>
        </w:rPr>
        <w:t>《暂行办法》</w:t>
      </w:r>
      <w:r>
        <w:rPr>
          <w:rFonts w:hint="eastAsia" w:ascii="Times New Roman" w:hAnsi="Times New Roman" w:eastAsia="仿宋_GB2312" w:cs="Times New Roman"/>
          <w:color w:val="auto"/>
          <w:kern w:val="0"/>
          <w:sz w:val="32"/>
          <w:szCs w:val="32"/>
          <w:lang w:val="en-US" w:eastAsia="zh-CN" w:bidi="ar-SA"/>
        </w:rPr>
        <w:t>实施情况及成效进行评估。</w:t>
      </w:r>
    </w:p>
    <w:p>
      <w:pPr>
        <w:keepNext/>
        <w:keepLines/>
        <w:widowControl w:val="0"/>
        <w:bidi w:val="0"/>
        <w:spacing w:before="50" w:beforeLines="50" w:after="50" w:afterLines="50" w:line="360" w:lineRule="auto"/>
        <w:jc w:val="both"/>
        <w:outlineLvl w:val="2"/>
        <w:rPr>
          <w:rFonts w:hint="eastAsia"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1.2.2 文件出台过程</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2022年11月淮北市住房和城乡建设局组织启动《暂行办法》起草编制工作，2022年12月前往先进地市调研借鉴经验，形成《暂行办法》初稿。</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2022年12月29日至2023年1月29日在市住房城乡建设局网站公开征求意见，同时书面征求全市24家相关单位意见。2月10日，市住房城乡建设局组织召开专家论证会，专家组一致同意通过《暂行办法（送审稿）》，组织开展风险评估，于2月14日向市委政法委进行备案。3月17日，市政府副秘书长霍士启主持召开征求意见会议，经讨论后修改完善形成《暂行办法（送审稿）》。</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2023年3月14日，通过市司法局合法性审查。</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2023年3月29日，市政府第17次常务会议审议通过了《暂行办法（送审稿）》，最终以政府文件形式印发施行。</w:t>
      </w:r>
    </w:p>
    <w:p>
      <w:pPr>
        <w:keepNext/>
        <w:keepLines/>
        <w:widowControl w:val="0"/>
        <w:bidi w:val="0"/>
        <w:snapToGrid/>
        <w:spacing w:before="100" w:beforeLines="100" w:after="100" w:afterLines="100" w:line="360" w:lineRule="auto"/>
        <w:jc w:val="center"/>
        <w:outlineLvl w:val="1"/>
        <w:rPr>
          <w:rFonts w:hint="eastAsia" w:ascii="Times New Roman" w:hAnsi="Times New Roman" w:eastAsia="FangSong_GB2312" w:cs="Times New Roman"/>
          <w:b/>
          <w:bCs/>
          <w:color w:val="auto"/>
          <w:kern w:val="2"/>
          <w:sz w:val="36"/>
          <w:szCs w:val="32"/>
          <w:highlight w:val="none"/>
          <w:lang w:val="en-US" w:eastAsia="zh-CN" w:bidi="ar-SA"/>
        </w:rPr>
      </w:pPr>
      <w:bookmarkStart w:id="56" w:name="_Toc19790"/>
      <w:r>
        <w:rPr>
          <w:rFonts w:hint="eastAsia" w:ascii="Times New Roman" w:hAnsi="Times New Roman" w:eastAsia="FangSong_GB2312" w:cs="Times New Roman"/>
          <w:b/>
          <w:bCs/>
          <w:color w:val="auto"/>
          <w:kern w:val="2"/>
          <w:sz w:val="36"/>
          <w:szCs w:val="32"/>
          <w:highlight w:val="none"/>
          <w:lang w:val="en-US" w:eastAsia="zh-CN" w:bidi="ar-SA"/>
        </w:rPr>
        <w:t>1.3 决策执行基本情况</w:t>
      </w:r>
      <w:bookmarkEnd w:id="56"/>
    </w:p>
    <w:p>
      <w:pPr>
        <w:keepNext w:val="0"/>
        <w:keepLines w:val="0"/>
        <w:pageBreakBefore w:val="0"/>
        <w:widowControl w:val="0"/>
        <w:numPr>
          <w:ilvl w:val="0"/>
          <w:numId w:val="2"/>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城市更新工作组织情况</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（一）工作统筹协调</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2023年3月成立由市长担任组长的市城市更新行动领导小组，成员单位覆盖市发改、市财政、市规划、县区政府等25家单位，统筹协调推进全市城市更新工作。2023年上半年，一县三区政府均成立县区城市更新工作领导小组，统筹协调实施城市更新项目。</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2024年8月，成立由市长任组长的城市功能品质活力提升领导小组，设立由市发展改革委、市住建局“双牵头”的领导小组办公室，成立两个专班。</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2024年11月，成立淮北市城市更新工作专班，成员单位包括市发改、财政、规划、住建等36家单位或部门。</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（二）管理机构设立</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为进一步完善城市更新相关管理职能，经市政府编办批准同意，市住建局下属市城乡建设管理处设立了城市更新科，落实人员编制，负责全市城市更新政策研究、统筹推进、监督指导等工作。</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（三）试点示范开展</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2024年8月，市住建局结合省政府2024年城市功能品质活力提升重点工作任务和我市城市更新行动，制定并出台市住建局《推进城市功能品质活力提升工作有关要点》，包括城市燃气管道等老化更新、保障性住房、购房优惠政策、城市生命线安全工程建设、“皖美红色物业”推进工作、绿色建筑高质量发展、城市园林绿化提升、城市停车功能提升8项重点工作（5项省厅重点任务+3项本地拓展任务）。</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（四）政策法规出台及规划编制情况</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ascii="Times New Roman" w:hAnsi="Times New Roman" w:eastAsia="仿宋_GB2312" w:cs="Times New Roman"/>
          <w:color w:val="auto"/>
          <w:sz w:val="32"/>
          <w:szCs w:val="32"/>
        </w:rPr>
        <w:t>2023年4月，我市印发出台</w:t>
      </w:r>
      <w:r>
        <w:rPr>
          <w:rFonts w:hint="eastAsia" w:ascii="仿宋_GB2312" w:hAnsi="仿宋_GB2312" w:eastAsia="仿宋_GB2312" w:cs="仿宋_GB2312"/>
          <w:color w:val="auto"/>
          <w:kern w:val="0"/>
          <w:sz w:val="32"/>
          <w:szCs w:val="32"/>
          <w:highlight w:val="none"/>
          <w:lang w:val="en-US" w:eastAsia="zh-CN" w:bidi="ar-SA"/>
        </w:rPr>
        <w:t>《淮北市城市更新暂行办法》（淮政办〔2023〕6号），明确城市更新的工作机制、规划与计划、项目实施、资金筹措等制度要求，</w:t>
      </w:r>
      <w:r>
        <w:rPr>
          <w:rFonts w:ascii="Times New Roman" w:hAnsi="Times New Roman" w:eastAsia="仿宋_GB2312" w:cs="Times New Roman"/>
          <w:color w:val="auto"/>
          <w:sz w:val="32"/>
          <w:szCs w:val="32"/>
        </w:rPr>
        <w:t>提出相关支持政策</w:t>
      </w:r>
      <w:r>
        <w:rPr>
          <w:rFonts w:hint="eastAsia" w:ascii="Times New Roman" w:hAnsi="Times New Roman" w:eastAsia="仿宋_GB2312" w:cs="Times New Roman"/>
          <w:color w:val="auto"/>
          <w:sz w:val="32"/>
          <w:szCs w:val="32"/>
          <w:lang w:eastAsia="zh-CN"/>
        </w:rPr>
        <w:t>。2023年5月，以淮北市城市更新领导小组名义印发出台《淮北市城市更新行动领导小组议事规则》（淮更新〔2023〕1号），通过建立定期议事制度协调推进城市更新工作遇到的困难问题，形成上下协同、一体推进的工作机制。</w:t>
      </w:r>
      <w:r>
        <w:rPr>
          <w:rFonts w:hint="eastAsia" w:ascii="仿宋_GB2312" w:hAnsi="仿宋_GB2312" w:eastAsia="仿宋_GB2312" w:cs="仿宋_GB2312"/>
          <w:color w:val="auto"/>
          <w:kern w:val="0"/>
          <w:sz w:val="32"/>
          <w:szCs w:val="32"/>
          <w:highlight w:val="none"/>
          <w:lang w:val="en-US" w:eastAsia="zh-CN" w:bidi="ar-SA"/>
        </w:rPr>
        <w:t>印发《淮北市排水许可证审批办理及批后监督管理实施办法》，确保城市排水设施安全稳定运行；出台《淮北市城市道路和绿地挖掘占用管理办法》，精细养护市政设施；编制《淮北市住宅小区物业管理条例》，规范物业管理活动；印发《淮北市市区房屋征收房票安置办法（试行）》（淮政办〔2024〕18号），进一步完善住宅房屋征收补偿安置方式。</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default" w:ascii="仿宋_GB2312" w:hAnsi="仿宋_GB2312" w:eastAsia="仿宋_GB2312" w:cs="仿宋_GB2312"/>
          <w:color w:val="auto"/>
          <w:kern w:val="0"/>
          <w:sz w:val="32"/>
          <w:szCs w:val="32"/>
          <w:highlight w:val="none"/>
          <w:lang w:val="en-US" w:eastAsia="zh-CN" w:bidi="ar-SA"/>
        </w:rPr>
        <w:t>印发《淮北市2023年老旧小区改造工作实施方案》《关于进一步加强城镇老旧小区改造住宅专项维修资金管理工作的通知》《城镇老旧小区改造工程质量安全抽查巡查制度》《关于加强老旧小区改造质量回访、保修及质量问题投诉、纠纷协调处理工作的通知》《淮北市住宅设计品质提升指引》《淮北市房地产融资协调机制工作指引》《淮北市工程建设项目评定分离的指导意见（试行）》等技术标准文件。开展《淮北市城市更新技术导则》《淮北市口袋公园建设规划》《淮北市口袋公园技术导则》等规范文件</w:t>
      </w:r>
      <w:r>
        <w:rPr>
          <w:rFonts w:hint="eastAsia" w:ascii="仿宋_GB2312" w:hAnsi="仿宋_GB2312" w:eastAsia="仿宋_GB2312" w:cs="仿宋_GB2312"/>
          <w:color w:val="auto"/>
          <w:kern w:val="0"/>
          <w:sz w:val="32"/>
          <w:szCs w:val="32"/>
          <w:highlight w:val="none"/>
          <w:lang w:val="en-US" w:eastAsia="zh-CN" w:bidi="ar-SA"/>
        </w:rPr>
        <w:t>编制。</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default" w:ascii="仿宋_GB2312" w:hAnsi="仿宋_GB2312" w:eastAsia="仿宋_GB2312" w:cs="仿宋_GB2312"/>
          <w:color w:val="auto"/>
          <w:kern w:val="0"/>
          <w:sz w:val="32"/>
          <w:szCs w:val="32"/>
          <w:highlight w:val="none"/>
          <w:lang w:val="en-US" w:eastAsia="zh-CN" w:bidi="ar-SA"/>
        </w:rPr>
        <w:t>2024年3月，我市出台《淮北市城市更新专项规划》，明确更新目标，制定更新行动计划，提出分区更新指引，并建立近期重点项目库等内容，规范城市更新项目计划和实施工作。</w:t>
      </w:r>
    </w:p>
    <w:p>
      <w:pPr>
        <w:keepNext w:val="0"/>
        <w:keepLines w:val="0"/>
        <w:pageBreakBefore w:val="0"/>
        <w:widowControl w:val="0"/>
        <w:numPr>
          <w:ilvl w:val="0"/>
          <w:numId w:val="0"/>
        </w:numPr>
        <w:tabs>
          <w:tab w:val="left" w:pos="768"/>
        </w:tabs>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（五）城市更新行动宣传推广</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淮北市积极开展城市更新行动宣传推广工作，不定期在市住建局官网、淮北发布等媒体渠道进行城市更新信息发布。2023年多篇城市更新工作信息在市政务信息平台进行了发布。市住建局向省厅提供城市更新宣传信息稿件3篇。</w:t>
      </w:r>
      <w:r>
        <w:rPr>
          <w:rFonts w:hint="eastAsia" w:ascii="仿宋_GB2312" w:hAnsi="仿宋_GB2312" w:eastAsia="仿宋_GB2312" w:cs="仿宋_GB2312"/>
          <w:b w:val="0"/>
          <w:bCs w:val="0"/>
          <w:color w:val="auto"/>
          <w:kern w:val="0"/>
          <w:sz w:val="32"/>
          <w:szCs w:val="32"/>
          <w:highlight w:val="none"/>
          <w:lang w:val="en-US" w:eastAsia="zh-CN" w:bidi="ar-SA"/>
        </w:rPr>
        <w:t>《安徽淮北“四力”并提 稳步推进城市更新》等城市更新做法经验信息近期在《中国建设报》平台发布。</w:t>
      </w:r>
    </w:p>
    <w:p>
      <w:pPr>
        <w:widowControl w:val="0"/>
        <w:numPr>
          <w:ilvl w:val="0"/>
          <w:numId w:val="0"/>
        </w:numPr>
        <w:wordWrap/>
        <w:topLinePunct/>
        <w:spacing w:line="360" w:lineRule="auto"/>
        <w:jc w:val="both"/>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drawing>
          <wp:inline distT="0" distB="0" distL="114300" distR="114300">
            <wp:extent cx="5198745" cy="6263640"/>
            <wp:effectExtent l="0" t="0" r="1905" b="3810"/>
            <wp:docPr id="34" name="图片 34" descr="安徽淮北“四力”并提 稳步推进城市更新"/>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descr="安徽淮北“四力”并提 稳步推进城市更新"/>
                    <pic:cNvPicPr>
                      <a:picLocks noChangeAspect="true"/>
                    </pic:cNvPicPr>
                  </pic:nvPicPr>
                  <pic:blipFill>
                    <a:blip r:embed="rId17"/>
                    <a:srcRect b="59884"/>
                    <a:stretch>
                      <a:fillRect/>
                    </a:stretch>
                  </pic:blipFill>
                  <pic:spPr>
                    <a:xfrm>
                      <a:off x="0" y="0"/>
                      <a:ext cx="5198745" cy="6263640"/>
                    </a:xfrm>
                    <a:prstGeom prst="rect">
                      <a:avLst/>
                    </a:prstGeom>
                  </pic:spPr>
                </pic:pic>
              </a:graphicData>
            </a:graphic>
          </wp:inline>
        </w:drawing>
      </w:r>
    </w:p>
    <w:p>
      <w:pPr>
        <w:widowControl w:val="0"/>
        <w:jc w:val="center"/>
        <w:rPr>
          <w:rFonts w:hint="eastAsia" w:ascii="仿宋_GB2312" w:hAnsi="仿宋_GB2312" w:eastAsia="仿宋_GB2312" w:cs="仿宋_GB2312"/>
          <w:b/>
          <w:bCs/>
          <w:color w:val="auto"/>
          <w:kern w:val="2"/>
          <w:sz w:val="21"/>
          <w:szCs w:val="21"/>
          <w:highlight w:val="none"/>
          <w:lang w:val="en-US" w:eastAsia="zh-CN" w:bidi="ar-SA"/>
        </w:rPr>
      </w:pPr>
      <w:r>
        <w:rPr>
          <w:rFonts w:hint="eastAsia" w:ascii="仿宋_GB2312" w:hAnsi="仿宋_GB2312" w:eastAsia="仿宋_GB2312" w:cs="仿宋_GB2312"/>
          <w:b/>
          <w:bCs/>
          <w:color w:val="auto"/>
          <w:kern w:val="2"/>
          <w:sz w:val="21"/>
          <w:szCs w:val="21"/>
          <w:highlight w:val="none"/>
          <w:lang w:val="en-US" w:eastAsia="zh-CN" w:bidi="ar-SA"/>
        </w:rPr>
        <w:t>图1-1 网络截图</w:t>
      </w:r>
    </w:p>
    <w:p>
      <w:pPr>
        <w:widowControl w:val="0"/>
        <w:numPr>
          <w:ilvl w:val="0"/>
          <w:numId w:val="0"/>
        </w:numPr>
        <w:wordWrap/>
        <w:topLinePunct/>
        <w:spacing w:line="360" w:lineRule="auto"/>
        <w:ind w:firstLine="640" w:firstLineChars="200"/>
        <w:jc w:val="both"/>
        <w:rPr>
          <w:rFonts w:hint="eastAsia" w:ascii="仿宋_GB2312" w:hAnsi="仿宋_GB2312" w:eastAsia="仿宋_GB2312" w:cs="仿宋_GB2312"/>
          <w:b w:val="0"/>
          <w:bCs w:val="0"/>
          <w:color w:val="auto"/>
          <w:kern w:val="0"/>
          <w:sz w:val="32"/>
          <w:szCs w:val="32"/>
          <w:highlight w:val="none"/>
          <w:lang w:val="en-US" w:eastAsia="zh-CN" w:bidi="ar-SA"/>
        </w:rPr>
      </w:pPr>
    </w:p>
    <w:p>
      <w:pPr>
        <w:widowControl w:val="0"/>
        <w:numPr>
          <w:ilvl w:val="0"/>
          <w:numId w:val="0"/>
        </w:numPr>
        <w:wordWrap/>
        <w:topLinePunct/>
        <w:spacing w:line="360" w:lineRule="auto"/>
        <w:jc w:val="center"/>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drawing>
          <wp:inline distT="0" distB="0" distL="114300" distR="114300">
            <wp:extent cx="5210810" cy="8361680"/>
            <wp:effectExtent l="0" t="0" r="8890" b="1270"/>
            <wp:docPr id="33" name="图片 33" descr="由“煤城”到“美城”-以城市更新助力城市转型的淮北经验"/>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3" descr="由“煤城”到“美城”-以城市更新助力城市转型的淮北经验"/>
                    <pic:cNvPicPr>
                      <a:picLocks noChangeAspect="true"/>
                    </pic:cNvPicPr>
                  </pic:nvPicPr>
                  <pic:blipFill>
                    <a:blip r:embed="rId18"/>
                    <a:srcRect t="2039" b="31953"/>
                    <a:stretch>
                      <a:fillRect/>
                    </a:stretch>
                  </pic:blipFill>
                  <pic:spPr>
                    <a:xfrm>
                      <a:off x="0" y="0"/>
                      <a:ext cx="5210810" cy="8361680"/>
                    </a:xfrm>
                    <a:prstGeom prst="rect">
                      <a:avLst/>
                    </a:prstGeom>
                  </pic:spPr>
                </pic:pic>
              </a:graphicData>
            </a:graphic>
          </wp:inline>
        </w:drawing>
      </w:r>
    </w:p>
    <w:p>
      <w:pPr>
        <w:widowControl w:val="0"/>
        <w:jc w:val="center"/>
        <w:rPr>
          <w:rFonts w:hint="eastAsia" w:ascii="仿宋_GB2312" w:hAnsi="仿宋_GB2312" w:eastAsia="仿宋_GB2312" w:cs="仿宋_GB2312"/>
          <w:b/>
          <w:bCs/>
          <w:color w:val="auto"/>
          <w:kern w:val="2"/>
          <w:sz w:val="21"/>
          <w:szCs w:val="21"/>
          <w:highlight w:val="none"/>
          <w:lang w:val="en-US" w:eastAsia="zh-CN" w:bidi="ar-SA"/>
        </w:rPr>
      </w:pPr>
      <w:r>
        <w:rPr>
          <w:rFonts w:hint="eastAsia" w:ascii="仿宋_GB2312" w:hAnsi="仿宋_GB2312" w:eastAsia="仿宋_GB2312" w:cs="仿宋_GB2312"/>
          <w:b/>
          <w:bCs/>
          <w:color w:val="auto"/>
          <w:kern w:val="2"/>
          <w:sz w:val="21"/>
          <w:szCs w:val="21"/>
          <w:highlight w:val="none"/>
          <w:lang w:val="en-US" w:eastAsia="zh-CN" w:bidi="ar-SA"/>
        </w:rPr>
        <w:t>图1-2 网络截图</w:t>
      </w:r>
    </w:p>
    <w:p>
      <w:pPr>
        <w:keepNext w:val="0"/>
        <w:keepLines w:val="0"/>
        <w:pageBreakBefore w:val="0"/>
        <w:widowControl w:val="0"/>
        <w:numPr>
          <w:ilvl w:val="0"/>
          <w:numId w:val="0"/>
        </w:numPr>
        <w:kinsoku/>
        <w:wordWrap/>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2024年8月，市政府举办全市第二十六期“淮北大讲堂”，邀请中国城市规划设计研究院教授就“以精准体检促进城市功能品质活力提升”主题进行培训；安徽地平线建筑设计公司专家介绍城市功能品质活力提升项目案例。2024年8月，市住建局参加长三角区域城市更新经验与技术交流会，会议上就《由“煤城”到“美城”-以城市更新助力城市转型的淮北经验》主题交流发言。总结我市煤炭、电力等工业遗址改造利用经验做法，总结啤酒厂旧址、老电厂旧址城市更新改造案例，其中啤酒厂文创街区项目案例在省城市功能品质活力提升工作专报（第16期）公布推广。</w:t>
      </w:r>
    </w:p>
    <w:p>
      <w:pPr>
        <w:keepNext w:val="0"/>
        <w:keepLines w:val="0"/>
        <w:pageBreakBefore w:val="0"/>
        <w:widowControl w:val="0"/>
        <w:numPr>
          <w:ilvl w:val="0"/>
          <w:numId w:val="0"/>
        </w:numPr>
        <w:tabs>
          <w:tab w:val="left" w:pos="768"/>
        </w:tabs>
        <w:kinsoku/>
        <w:wordWrap/>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（六）公众参与情况</w:t>
      </w:r>
    </w:p>
    <w:p>
      <w:pPr>
        <w:keepNext w:val="0"/>
        <w:keepLines w:val="0"/>
        <w:pageBreakBefore w:val="0"/>
        <w:widowControl w:val="0"/>
        <w:numPr>
          <w:ilvl w:val="0"/>
          <w:numId w:val="0"/>
        </w:numPr>
        <w:kinsoku/>
        <w:wordWrap/>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坚持“微改造”的城市更新理念，持续开展老旧小区改造业主“面对面”活动，公开选聘义务监督员199名，共同监督老旧小区改造工作。</w:t>
      </w:r>
    </w:p>
    <w:p>
      <w:pPr>
        <w:keepNext w:val="0"/>
        <w:keepLines w:val="0"/>
        <w:pageBreakBefore w:val="0"/>
        <w:widowControl w:val="0"/>
        <w:numPr>
          <w:ilvl w:val="0"/>
          <w:numId w:val="0"/>
        </w:numPr>
        <w:kinsoku/>
        <w:wordWrap/>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发布淮北市“口袋公园”“有奖征名”和“城市停车功能提升专项行动知晓率和满意度调查”等问计于民活动，针对城市建设热点，2024年累计发布6期“问计于民”问卷调查，收集城市建设类整改建议近1000余条，并逐条落实整改。</w:t>
      </w:r>
    </w:p>
    <w:p>
      <w:pPr>
        <w:keepNext w:val="0"/>
        <w:keepLines w:val="0"/>
        <w:pageBreakBefore w:val="0"/>
        <w:widowControl w:val="0"/>
        <w:numPr>
          <w:ilvl w:val="0"/>
          <w:numId w:val="0"/>
        </w:numPr>
        <w:kinsoku/>
        <w:wordWrap/>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常态化开展“物业开放日”“综合执法服务进小区”等活动，严格落实“一箱二牌三栏”物业服务事项公开公示，发布物业服务项目“红黑榜”，回应群众关切。</w:t>
      </w:r>
    </w:p>
    <w:p>
      <w:pPr>
        <w:keepNext w:val="0"/>
        <w:keepLines w:val="0"/>
        <w:pageBreakBefore w:val="0"/>
        <w:widowControl w:val="0"/>
        <w:numPr>
          <w:ilvl w:val="0"/>
          <w:numId w:val="2"/>
        </w:numPr>
        <w:kinsoku/>
        <w:wordWrap/>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城市更新项目实施情况</w:t>
      </w:r>
    </w:p>
    <w:p>
      <w:pPr>
        <w:keepNext w:val="0"/>
        <w:keepLines w:val="0"/>
        <w:pageBreakBefore w:val="0"/>
        <w:widowControl w:val="0"/>
        <w:numPr>
          <w:ilvl w:val="0"/>
          <w:numId w:val="0"/>
        </w:numPr>
        <w:tabs>
          <w:tab w:val="left" w:pos="768"/>
        </w:tabs>
        <w:kinsoku/>
        <w:wordWrap/>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（一）城市体检</w:t>
      </w:r>
    </w:p>
    <w:p>
      <w:pPr>
        <w:keepNext w:val="0"/>
        <w:keepLines w:val="0"/>
        <w:pageBreakBefore w:val="0"/>
        <w:widowControl w:val="0"/>
        <w:numPr>
          <w:ilvl w:val="0"/>
          <w:numId w:val="0"/>
        </w:numPr>
        <w:tabs>
          <w:tab w:val="left" w:pos="768"/>
        </w:tabs>
        <w:kinsoku/>
        <w:wordWrap/>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default" w:ascii="仿宋_GB2312" w:hAnsi="仿宋_GB2312" w:eastAsia="仿宋_GB2312" w:cs="仿宋_GB2312"/>
          <w:color w:val="auto"/>
          <w:kern w:val="0"/>
          <w:sz w:val="32"/>
          <w:szCs w:val="32"/>
          <w:highlight w:val="none"/>
          <w:lang w:val="en-US" w:eastAsia="zh-CN" w:bidi="ar-SA"/>
        </w:rPr>
        <w:t>为统筹实施城市更新行动，推动建设没有“城市病”的城市，我市坚持问题导向，落实全周期体检制度，建立城市定期体检机制。“十四五”期间坚持“一年一体检、五年一评估”，2021年起全面开展三区和濉溪县城市体检全覆盖。</w:t>
      </w:r>
    </w:p>
    <w:p>
      <w:pPr>
        <w:keepNext w:val="0"/>
        <w:keepLines w:val="0"/>
        <w:pageBreakBefore w:val="0"/>
        <w:widowControl w:val="0"/>
        <w:numPr>
          <w:ilvl w:val="0"/>
          <w:numId w:val="0"/>
        </w:numPr>
        <w:tabs>
          <w:tab w:val="left" w:pos="768"/>
        </w:tabs>
        <w:kinsoku/>
        <w:wordWrap/>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default" w:ascii="仿宋_GB2312" w:hAnsi="仿宋_GB2312" w:eastAsia="仿宋_GB2312" w:cs="仿宋_GB2312"/>
          <w:color w:val="auto"/>
          <w:kern w:val="0"/>
          <w:sz w:val="32"/>
          <w:szCs w:val="32"/>
          <w:highlight w:val="none"/>
          <w:lang w:val="en-US" w:eastAsia="zh-CN" w:bidi="ar-SA"/>
        </w:rPr>
        <w:t>2024年，我市聚焦住房、小区（社区）、街区、城区（城市）4个层面，设置71+2项必检指标+自选特色指标（淮北市特色指标2项：再生水利用率和采煤塌陷区治理率），采取第三方体检和社会满意度调查相结合的方式，精准查找城市病，提出对策建议，形成年度城市体检报告成果，并按期报送省住建厅和全国城市体检平台。</w:t>
      </w:r>
    </w:p>
    <w:p>
      <w:pPr>
        <w:keepNext w:val="0"/>
        <w:keepLines w:val="0"/>
        <w:pageBreakBefore w:val="0"/>
        <w:widowControl w:val="0"/>
        <w:numPr>
          <w:ilvl w:val="0"/>
          <w:numId w:val="0"/>
        </w:numPr>
        <w:tabs>
          <w:tab w:val="left" w:pos="768"/>
        </w:tabs>
        <w:kinsoku/>
        <w:wordWrap/>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（二）各类项目实施情况</w:t>
      </w:r>
    </w:p>
    <w:p>
      <w:pPr>
        <w:keepNext w:val="0"/>
        <w:keepLines w:val="0"/>
        <w:pageBreakBefore w:val="0"/>
        <w:widowControl w:val="0"/>
        <w:kinsoku/>
        <w:wordWrap/>
        <w:overflowPunct w:val="0"/>
        <w:autoSpaceDE/>
        <w:autoSpaceDN/>
        <w:bidi w:val="0"/>
        <w:adjustRightInd/>
        <w:snapToGrid/>
        <w:spacing w:line="560" w:lineRule="exact"/>
        <w:ind w:firstLine="640" w:firstLineChars="200"/>
        <w:textAlignment w:val="auto"/>
        <w:rPr>
          <w:rFonts w:ascii="Times New Roman" w:hAnsi="Times New Roman" w:eastAsia="仿宋_GB2312" w:cs="Times New Roman"/>
          <w:color w:val="auto"/>
          <w:sz w:val="32"/>
          <w:szCs w:val="32"/>
        </w:rPr>
      </w:pPr>
      <w:r>
        <w:rPr>
          <w:rFonts w:hint="eastAsia" w:ascii="仿宋_GB2312" w:hAnsi="仿宋_GB2312" w:eastAsia="仿宋_GB2312" w:cs="仿宋_GB2312"/>
          <w:color w:val="auto"/>
          <w:sz w:val="32"/>
          <w:szCs w:val="32"/>
          <w:highlight w:val="none"/>
          <w:lang w:val="en-US" w:eastAsia="zh-CN"/>
        </w:rPr>
        <w:t>2023年淮北市推进实施城市更新相关项目共37个，其中计划年底前建设完成27个，跨年度在建10个，</w:t>
      </w:r>
      <w:r>
        <w:rPr>
          <w:rFonts w:ascii="Times New Roman" w:hAnsi="Times New Roman" w:eastAsia="仿宋_GB2312" w:cs="Times New Roman"/>
          <w:color w:val="auto"/>
          <w:sz w:val="32"/>
          <w:szCs w:val="32"/>
        </w:rPr>
        <w:t>截至年底年度完成投资总额约7.35亿元，其中政府性投资约2.85亿元，非政府性投资约4.5亿元。</w:t>
      </w:r>
    </w:p>
    <w:p>
      <w:pPr>
        <w:keepNext w:val="0"/>
        <w:keepLines w:val="0"/>
        <w:pageBreakBefore w:val="0"/>
        <w:widowControl w:val="0"/>
        <w:numPr>
          <w:ilvl w:val="0"/>
          <w:numId w:val="0"/>
        </w:numPr>
        <w:kinsoku/>
        <w:wordWrap/>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2024年淮北市推进实施城市更新相关项目共35个。截至年底年度完成投资总额约13.8亿元，其中政府性投资约5.1亿元，非政府性投资约8.7亿元。</w:t>
      </w:r>
    </w:p>
    <w:p>
      <w:pPr>
        <w:keepNext w:val="0"/>
        <w:keepLines w:val="0"/>
        <w:pageBreakBefore w:val="0"/>
        <w:widowControl w:val="0"/>
        <w:numPr>
          <w:ilvl w:val="0"/>
          <w:numId w:val="0"/>
        </w:numPr>
        <w:kinsoku/>
        <w:wordWrap/>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2023年、2024年度具体实施的城市更新项目如表1-1。</w:t>
      </w:r>
    </w:p>
    <w:p>
      <w:pPr>
        <w:widowControl w:val="0"/>
        <w:spacing w:line="360" w:lineRule="auto"/>
        <w:jc w:val="center"/>
        <w:rPr>
          <w:rFonts w:hint="eastAsia" w:ascii="仿宋_GB2312" w:hAnsi="仿宋_GB2312" w:eastAsia="仿宋_GB2312" w:cs="仿宋_GB2312"/>
          <w:b/>
          <w:bCs/>
          <w:color w:val="auto"/>
          <w:kern w:val="2"/>
          <w:sz w:val="24"/>
          <w:szCs w:val="24"/>
          <w:highlight w:val="none"/>
          <w:lang w:val="en-US" w:eastAsia="zh-CN" w:bidi="ar-SA"/>
        </w:rPr>
      </w:pPr>
    </w:p>
    <w:p>
      <w:pPr>
        <w:widowControl w:val="0"/>
        <w:spacing w:line="360" w:lineRule="auto"/>
        <w:jc w:val="center"/>
        <w:rPr>
          <w:rFonts w:hint="eastAsia"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表1-1 城市更新项目实施情况</w:t>
      </w:r>
    </w:p>
    <w:tbl>
      <w:tblPr>
        <w:tblStyle w:val="23"/>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560"/>
        <w:gridCol w:w="2879"/>
        <w:gridCol w:w="33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18" w:type="pct"/>
            <w:tcBorders>
              <w:bottom w:val="single" w:color="auto" w:sz="12" w:space="0"/>
            </w:tcBorders>
            <w:vAlign w:val="center"/>
          </w:tcPr>
          <w:p>
            <w:pPr>
              <w:jc w:val="center"/>
              <w:rPr>
                <w:rFonts w:hint="default" w:ascii="仿宋_GB2312" w:hAnsi="仿宋_GB2312" w:eastAsia="仿宋_GB2312" w:cs="仿宋_GB2312"/>
                <w:b/>
                <w:bCs/>
                <w:color w:val="auto"/>
                <w:kern w:val="0"/>
                <w:sz w:val="24"/>
                <w:szCs w:val="24"/>
                <w:highlight w:val="none"/>
                <w:lang w:val="en-US" w:eastAsia="zh-CN" w:bidi="ar-SA"/>
              </w:rPr>
            </w:pPr>
            <w:r>
              <w:rPr>
                <w:rFonts w:hint="eastAsia" w:ascii="仿宋_GB2312" w:hAnsi="仿宋_GB2312" w:eastAsia="仿宋_GB2312" w:cs="仿宋_GB2312"/>
                <w:b/>
                <w:bCs/>
                <w:color w:val="auto"/>
                <w:kern w:val="0"/>
                <w:sz w:val="24"/>
                <w:szCs w:val="24"/>
                <w:highlight w:val="none"/>
                <w:lang w:val="en-US" w:eastAsia="zh-CN" w:bidi="ar-SA"/>
              </w:rPr>
              <w:t>序号</w:t>
            </w:r>
          </w:p>
        </w:tc>
        <w:tc>
          <w:tcPr>
            <w:tcW w:w="916" w:type="pct"/>
            <w:tcBorders>
              <w:bottom w:val="single" w:color="auto" w:sz="12" w:space="0"/>
            </w:tcBorders>
            <w:vAlign w:val="center"/>
          </w:tcPr>
          <w:p>
            <w:pPr>
              <w:jc w:val="center"/>
              <w:rPr>
                <w:rFonts w:hint="default" w:ascii="仿宋_GB2312" w:hAnsi="仿宋_GB2312" w:eastAsia="仿宋_GB2312" w:cs="仿宋_GB2312"/>
                <w:b/>
                <w:bCs/>
                <w:color w:val="auto"/>
                <w:kern w:val="0"/>
                <w:sz w:val="24"/>
                <w:szCs w:val="24"/>
                <w:highlight w:val="none"/>
                <w:lang w:val="en-US" w:eastAsia="zh-CN" w:bidi="ar-SA"/>
              </w:rPr>
            </w:pPr>
            <w:r>
              <w:rPr>
                <w:rFonts w:hint="eastAsia" w:ascii="仿宋_GB2312" w:hAnsi="仿宋_GB2312" w:eastAsia="仿宋_GB2312" w:cs="仿宋_GB2312"/>
                <w:b/>
                <w:bCs/>
                <w:color w:val="auto"/>
                <w:kern w:val="0"/>
                <w:sz w:val="24"/>
                <w:szCs w:val="24"/>
                <w:highlight w:val="none"/>
                <w:lang w:val="en-US" w:eastAsia="zh-CN" w:bidi="ar-SA"/>
              </w:rPr>
              <w:t>项目类别</w:t>
            </w:r>
          </w:p>
        </w:tc>
        <w:tc>
          <w:tcPr>
            <w:tcW w:w="1691" w:type="pct"/>
            <w:tcBorders>
              <w:bottom w:val="single" w:color="auto" w:sz="12" w:space="0"/>
            </w:tcBorders>
            <w:vAlign w:val="center"/>
          </w:tcPr>
          <w:p>
            <w:pPr>
              <w:jc w:val="center"/>
              <w:rPr>
                <w:rFonts w:hint="default" w:ascii="仿宋_GB2312" w:hAnsi="仿宋_GB2312" w:eastAsia="仿宋_GB2312" w:cs="仿宋_GB2312"/>
                <w:b/>
                <w:bCs/>
                <w:color w:val="auto"/>
                <w:kern w:val="0"/>
                <w:sz w:val="24"/>
                <w:szCs w:val="24"/>
                <w:highlight w:val="none"/>
                <w:lang w:val="en-US" w:eastAsia="zh-CN" w:bidi="ar-SA"/>
              </w:rPr>
            </w:pPr>
            <w:r>
              <w:rPr>
                <w:rFonts w:hint="eastAsia" w:ascii="仿宋_GB2312" w:hAnsi="仿宋_GB2312" w:eastAsia="仿宋_GB2312" w:cs="仿宋_GB2312"/>
                <w:b/>
                <w:bCs/>
                <w:color w:val="auto"/>
                <w:kern w:val="0"/>
                <w:sz w:val="24"/>
                <w:szCs w:val="24"/>
                <w:highlight w:val="none"/>
                <w:lang w:val="en-US" w:eastAsia="zh-CN" w:bidi="ar-SA"/>
              </w:rPr>
              <w:t>2023年度</w:t>
            </w:r>
          </w:p>
        </w:tc>
        <w:tc>
          <w:tcPr>
            <w:tcW w:w="1974" w:type="pct"/>
            <w:tcBorders>
              <w:bottom w:val="single" w:color="auto" w:sz="12" w:space="0"/>
            </w:tcBorders>
            <w:vAlign w:val="center"/>
          </w:tcPr>
          <w:p>
            <w:pPr>
              <w:jc w:val="center"/>
              <w:rPr>
                <w:rFonts w:hint="default" w:ascii="仿宋_GB2312" w:hAnsi="仿宋_GB2312" w:eastAsia="仿宋_GB2312" w:cs="仿宋_GB2312"/>
                <w:b/>
                <w:bCs/>
                <w:color w:val="auto"/>
                <w:kern w:val="0"/>
                <w:sz w:val="24"/>
                <w:szCs w:val="24"/>
                <w:highlight w:val="none"/>
                <w:lang w:val="en-US" w:eastAsia="zh-CN" w:bidi="ar-SA"/>
              </w:rPr>
            </w:pPr>
            <w:r>
              <w:rPr>
                <w:rFonts w:hint="eastAsia" w:ascii="仿宋_GB2312" w:hAnsi="仿宋_GB2312" w:eastAsia="仿宋_GB2312" w:cs="仿宋_GB2312"/>
                <w:b/>
                <w:bCs/>
                <w:color w:val="auto"/>
                <w:kern w:val="0"/>
                <w:sz w:val="24"/>
                <w:szCs w:val="24"/>
                <w:highlight w:val="none"/>
                <w:lang w:val="en-US" w:eastAsia="zh-CN" w:bidi="ar-SA"/>
              </w:rPr>
              <w:t>2024年度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op w:val="single" w:color="auto" w:sz="12" w:space="0"/>
              <w:tl2br w:val="nil"/>
              <w:tr2bl w:val="nil"/>
            </w:tcBorders>
          </w:tcPr>
          <w:p>
            <w:pPr>
              <w:jc w:val="center"/>
              <w:rPr>
                <w:rFonts w:hint="default"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1</w:t>
            </w:r>
          </w:p>
        </w:tc>
        <w:tc>
          <w:tcPr>
            <w:tcW w:w="916" w:type="pct"/>
            <w:tcBorders>
              <w:top w:val="single" w:color="auto" w:sz="12" w:space="0"/>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既有建筑更新改造类</w:t>
            </w:r>
          </w:p>
        </w:tc>
        <w:tc>
          <w:tcPr>
            <w:tcW w:w="1691" w:type="pct"/>
            <w:tcBorders>
              <w:top w:val="single" w:color="auto" w:sz="12" w:space="0"/>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淮北市体育中学校舍危房改扩建项目</w:t>
            </w:r>
          </w:p>
        </w:tc>
        <w:tc>
          <w:tcPr>
            <w:tcW w:w="1974" w:type="pct"/>
            <w:tcBorders>
              <w:top w:val="single" w:color="auto" w:sz="12" w:space="0"/>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精神卫生康复福利中心工程项目、淮北市老汽车站改造项目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2</w:t>
            </w:r>
          </w:p>
        </w:tc>
        <w:tc>
          <w:tcPr>
            <w:tcW w:w="916" w:type="pct"/>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城镇老旧小区改造类</w:t>
            </w:r>
          </w:p>
        </w:tc>
        <w:tc>
          <w:tcPr>
            <w:tcW w:w="3665" w:type="pct"/>
            <w:gridSpan w:val="2"/>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全市老旧小区改造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3</w:t>
            </w:r>
          </w:p>
        </w:tc>
        <w:tc>
          <w:tcPr>
            <w:tcW w:w="916" w:type="pct"/>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完整社区建设类</w:t>
            </w:r>
          </w:p>
        </w:tc>
        <w:tc>
          <w:tcPr>
            <w:tcW w:w="1691"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相山区黎苑新村完整社区建设</w:t>
            </w:r>
          </w:p>
        </w:tc>
        <w:tc>
          <w:tcPr>
            <w:tcW w:w="1974"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restar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4</w:t>
            </w:r>
          </w:p>
        </w:tc>
        <w:tc>
          <w:tcPr>
            <w:tcW w:w="916" w:type="pct"/>
            <w:vMerge w:val="restar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活力街区打造类</w:t>
            </w:r>
          </w:p>
        </w:tc>
        <w:tc>
          <w:tcPr>
            <w:tcW w:w="3665" w:type="pct"/>
            <w:gridSpan w:val="2"/>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老电厂工业遗址改扩建项目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916" w:type="pct"/>
            <w:vMerge w:val="continue"/>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1691"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w:t>
            </w:r>
          </w:p>
        </w:tc>
        <w:tc>
          <w:tcPr>
            <w:tcW w:w="1974"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相山区文创街区项目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restart"/>
            <w:tcBorders>
              <w:tl2br w:val="nil"/>
              <w:tr2bl w:val="nil"/>
            </w:tcBorders>
            <w:vAlign w:val="center"/>
          </w:tcPr>
          <w:p>
            <w:pPr>
              <w:jc w:val="center"/>
              <w:rPr>
                <w:rFonts w:hint="default"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5</w:t>
            </w:r>
          </w:p>
        </w:tc>
        <w:tc>
          <w:tcPr>
            <w:tcW w:w="916" w:type="pct"/>
            <w:vMerge w:val="restar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城市功能完善类</w:t>
            </w:r>
          </w:p>
        </w:tc>
        <w:tc>
          <w:tcPr>
            <w:tcW w:w="3665" w:type="pct"/>
            <w:gridSpan w:val="2"/>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淮北市中医医院中西医结合综合楼项目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continue"/>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916"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3665" w:type="pct"/>
            <w:gridSpan w:val="2"/>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淮北市疾病预防控制中心工程项目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continue"/>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916"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3665" w:type="pct"/>
            <w:gridSpan w:val="2"/>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淮北市全民健身中心项目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continue"/>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916"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3665" w:type="pct"/>
            <w:gridSpan w:val="2"/>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一实小、二中南湖校区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continue"/>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916"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3665" w:type="pct"/>
            <w:gridSpan w:val="2"/>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“书香淮北”城市书房市级示范项目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continue"/>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916"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1691"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市委党校二期工程</w:t>
            </w:r>
          </w:p>
        </w:tc>
        <w:tc>
          <w:tcPr>
            <w:tcW w:w="1974"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淮北实验学校扩建项目、泉山路综合体育公园项目、体育中心场馆更新改造提升项目、淮北站铁路沿线体育公园项目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vAlign w:val="center"/>
          </w:tcPr>
          <w:p>
            <w:pPr>
              <w:jc w:val="center"/>
              <w:rPr>
                <w:rFonts w:hint="default"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6</w:t>
            </w:r>
          </w:p>
        </w:tc>
        <w:tc>
          <w:tcPr>
            <w:tcW w:w="916"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基础设施更新改造类</w:t>
            </w:r>
          </w:p>
        </w:tc>
        <w:tc>
          <w:tcPr>
            <w:tcW w:w="1691"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城市燃气、供水、排水管道老化更新改造项目、市政设施提升项目、路口渠化改造项目、外环路等路灯安装项目、14处停车场建设改造</w:t>
            </w:r>
          </w:p>
        </w:tc>
        <w:tc>
          <w:tcPr>
            <w:tcW w:w="1974"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城市内涝治理工程、烈青路青谷路泵站扩容除臭工程、职教园区排涝泵站建设、城市桥梁大修工程、老旧小区泵房提升建设、骏驰路、瑞骑路、路口渠化畅通及慢行系统完善项目、城市排水管网提升、供水、排水管道老化更新改造项目、淮北站交通环境整体规划提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restart"/>
            <w:tcBorders>
              <w:tl2br w:val="nil"/>
              <w:tr2bl w:val="nil"/>
            </w:tcBorders>
            <w:vAlign w:val="center"/>
          </w:tcPr>
          <w:p>
            <w:pPr>
              <w:jc w:val="center"/>
              <w:rPr>
                <w:rFonts w:hint="default"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7</w:t>
            </w:r>
          </w:p>
        </w:tc>
        <w:tc>
          <w:tcPr>
            <w:tcW w:w="916" w:type="pct"/>
            <w:vMerge w:val="restar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生态修复类</w:t>
            </w:r>
          </w:p>
        </w:tc>
        <w:tc>
          <w:tcPr>
            <w:tcW w:w="3665" w:type="pct"/>
            <w:gridSpan w:val="2"/>
            <w:tcBorders>
              <w:tl2br w:val="nil"/>
              <w:tr2bl w:val="nil"/>
            </w:tcBorders>
            <w:shd w:val="clear" w:color="auto" w:fill="auto"/>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口袋公园建设及绿地改造提升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916" w:type="pct"/>
            <w:vMerge w:val="continue"/>
            <w:tcBorders>
              <w:tl2br w:val="nil"/>
              <w:tr2bl w:val="nil"/>
            </w:tcBorders>
          </w:tcPr>
          <w:p>
            <w:pPr>
              <w:jc w:val="center"/>
              <w:rPr>
                <w:rFonts w:hint="eastAsia" w:ascii="仿宋_GB2312" w:hAnsi="仿宋_GB2312" w:eastAsia="仿宋_GB2312" w:cs="仿宋_GB2312"/>
                <w:color w:val="auto"/>
                <w:kern w:val="0"/>
                <w:sz w:val="24"/>
                <w:szCs w:val="24"/>
                <w:highlight w:val="none"/>
                <w:lang w:val="en-US" w:eastAsia="zh-CN" w:bidi="ar-SA"/>
              </w:rPr>
            </w:pPr>
          </w:p>
        </w:tc>
        <w:tc>
          <w:tcPr>
            <w:tcW w:w="1691" w:type="pct"/>
            <w:tcBorders>
              <w:tl2br w:val="nil"/>
              <w:tr2bl w:val="nil"/>
            </w:tcBorders>
            <w:shd w:val="clear" w:color="auto" w:fill="auto"/>
            <w:vAlign w:val="center"/>
          </w:tcPr>
          <w:p>
            <w:pPr>
              <w:jc w:val="center"/>
              <w:rPr>
                <w:rFonts w:hint="default"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w:t>
            </w:r>
          </w:p>
        </w:tc>
        <w:tc>
          <w:tcPr>
            <w:tcW w:w="1974"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三湖公园景观改造提升、杜集区采煤沉陷区朔西湖环境治理、石质山场提质增效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8</w:t>
            </w:r>
          </w:p>
        </w:tc>
        <w:tc>
          <w:tcPr>
            <w:tcW w:w="916" w:type="pct"/>
            <w:tcBorders>
              <w:tl2br w:val="nil"/>
              <w:tr2bl w:val="nil"/>
            </w:tcBorders>
            <w:vAlign w:val="center"/>
          </w:tcPr>
          <w:p>
            <w:pPr>
              <w:jc w:val="center"/>
              <w:rPr>
                <w:rFonts w:hint="default"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历史文化保护传承类</w:t>
            </w:r>
          </w:p>
        </w:tc>
        <w:tc>
          <w:tcPr>
            <w:tcW w:w="1691"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淮北市本级历史建筑保护图则编制、煤海之子口袋公园改造建设、烈山区军王村解放战争后方医院旧址活化利用、“书香淮北”城市书房市级示范项目</w:t>
            </w:r>
          </w:p>
        </w:tc>
        <w:tc>
          <w:tcPr>
            <w:tcW w:w="1974"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淮北市历史地段普查认定项目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8" w:type="pct"/>
            <w:tcBorders>
              <w:tl2br w:val="nil"/>
              <w:tr2bl w:val="nil"/>
            </w:tcBorders>
            <w:vAlign w:val="center"/>
          </w:tcPr>
          <w:p>
            <w:pPr>
              <w:jc w:val="center"/>
              <w:rPr>
                <w:rFonts w:hint="default"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9</w:t>
            </w:r>
          </w:p>
        </w:tc>
        <w:tc>
          <w:tcPr>
            <w:tcW w:w="916"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default" w:ascii="仿宋_GB2312" w:hAnsi="仿宋_GB2312" w:eastAsia="仿宋_GB2312" w:cs="仿宋_GB2312"/>
                <w:color w:val="auto"/>
                <w:kern w:val="0"/>
                <w:sz w:val="24"/>
                <w:szCs w:val="24"/>
                <w:highlight w:val="none"/>
                <w:lang w:val="en-US" w:eastAsia="zh-CN" w:bidi="ar-SA"/>
              </w:rPr>
              <w:t>其他类</w:t>
            </w:r>
          </w:p>
        </w:tc>
        <w:tc>
          <w:tcPr>
            <w:tcW w:w="1691"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w:t>
            </w:r>
          </w:p>
        </w:tc>
        <w:tc>
          <w:tcPr>
            <w:tcW w:w="1974" w:type="pct"/>
            <w:tcBorders>
              <w:tl2br w:val="nil"/>
              <w:tr2bl w:val="nil"/>
            </w:tcBorders>
            <w:vAlign w:val="center"/>
          </w:tcPr>
          <w:p>
            <w:pPr>
              <w:jc w:val="center"/>
              <w:rPr>
                <w:rFonts w:hint="eastAsia" w:ascii="仿宋_GB2312" w:hAnsi="仿宋_GB2312" w:eastAsia="仿宋_GB2312" w:cs="仿宋_GB2312"/>
                <w:color w:val="auto"/>
                <w:kern w:val="0"/>
                <w:sz w:val="24"/>
                <w:szCs w:val="24"/>
                <w:highlight w:val="none"/>
                <w:lang w:val="en-US" w:eastAsia="zh-CN" w:bidi="ar-SA"/>
              </w:rPr>
            </w:pPr>
            <w:r>
              <w:rPr>
                <w:rFonts w:hint="eastAsia" w:ascii="仿宋_GB2312" w:hAnsi="仿宋_GB2312" w:eastAsia="仿宋_GB2312" w:cs="仿宋_GB2312"/>
                <w:color w:val="auto"/>
                <w:kern w:val="0"/>
                <w:sz w:val="24"/>
                <w:szCs w:val="24"/>
                <w:highlight w:val="none"/>
                <w:lang w:val="en-US" w:eastAsia="zh-CN" w:bidi="ar-SA"/>
              </w:rPr>
              <w:t>城市节水信息化应用场景、城市运行管理服务平台一期、城市生命线安全工程二期、城市停车场建设</w:t>
            </w:r>
          </w:p>
        </w:tc>
      </w:tr>
    </w:tbl>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其中，城镇老旧小区改造类具体情况：根据相关数据，淮北市相山区、杜集区、烈山区2023年合计改造老旧小区46个，惠及居民18229户，建筑面积约为151万平方米；2024年合计改造老旧小区63个，惠及居民31034户，建筑面积约为245万平方米。</w:t>
      </w:r>
    </w:p>
    <w:p>
      <w:pPr>
        <w:widowControl w:val="0"/>
        <w:numPr>
          <w:ilvl w:val="0"/>
          <w:numId w:val="0"/>
        </w:numPr>
        <w:wordWrap/>
        <w:topLinePunct/>
        <w:spacing w:line="360" w:lineRule="auto"/>
        <w:jc w:val="both"/>
        <w:rPr>
          <w:rFonts w:hint="eastAsia" w:ascii="仿宋_GB2312" w:hAnsi="仿宋_GB2312" w:eastAsia="仿宋_GB2312" w:cs="仿宋_GB2312"/>
          <w:color w:val="auto"/>
          <w:kern w:val="0"/>
          <w:sz w:val="32"/>
          <w:szCs w:val="32"/>
          <w:highlight w:val="none"/>
          <w:lang w:val="en-US" w:eastAsia="zh-CN" w:bidi="ar-SA"/>
        </w:rPr>
      </w:pPr>
      <w:r>
        <w:rPr>
          <w:rFonts w:hint="default" w:ascii="仿宋_GB2312" w:hAnsi="仿宋_GB2312" w:eastAsia="仿宋_GB2312" w:cs="仿宋_GB2312"/>
          <w:color w:val="auto"/>
          <w:kern w:val="0"/>
          <w:sz w:val="32"/>
          <w:szCs w:val="32"/>
          <w:highlight w:val="none"/>
          <w:lang w:val="en-US" w:eastAsia="zh-CN" w:bidi="ar-SA"/>
        </w:rPr>
        <w:drawing>
          <wp:inline distT="0" distB="0" distL="114300" distR="114300">
            <wp:extent cx="5256530" cy="2988310"/>
            <wp:effectExtent l="0" t="0" r="1270" b="254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bidi w:val="0"/>
        <w:rPr>
          <w:rFonts w:hint="default"/>
          <w:color w:val="auto"/>
          <w:lang w:val="en-US" w:eastAsia="zh-CN"/>
        </w:rPr>
      </w:pPr>
      <w:r>
        <w:rPr>
          <w:rFonts w:hint="default"/>
          <w:color w:val="auto"/>
          <w:lang w:val="en-US" w:eastAsia="zh-CN"/>
        </w:rPr>
        <w:br w:type="textWrapping"/>
      </w:r>
    </w:p>
    <w:p>
      <w:pPr>
        <w:bidi w:val="0"/>
        <w:rPr>
          <w:rFonts w:hint="default"/>
          <w:color w:val="auto"/>
          <w:lang w:val="en-US" w:eastAsia="zh-CN"/>
        </w:rPr>
        <w:sectPr>
          <w:headerReference r:id="rId8" w:type="default"/>
          <w:footerReference r:id="rId9" w:type="default"/>
          <w:pgSz w:w="11906" w:h="16838"/>
          <w:pgMar w:top="1440" w:right="1800" w:bottom="1440" w:left="1800" w:header="992" w:footer="992" w:gutter="0"/>
          <w:pgBorders>
            <w:top w:val="none" w:sz="0" w:space="0"/>
            <w:left w:val="none" w:sz="0" w:space="0"/>
            <w:bottom w:val="none" w:sz="0" w:space="0"/>
            <w:right w:val="none" w:sz="0" w:space="0"/>
          </w:pgBorders>
          <w:pgNumType w:fmt="decimal" w:start="1"/>
          <w:cols w:space="0" w:num="1"/>
          <w:rtlGutter w:val="0"/>
          <w:docGrid w:type="lines" w:linePitch="317" w:charSpace="0"/>
        </w:sectPr>
      </w:pPr>
    </w:p>
    <w:p>
      <w:pPr>
        <w:keepNext/>
        <w:widowControl w:val="0"/>
        <w:bidi w:val="0"/>
        <w:snapToGrid/>
        <w:spacing w:before="100" w:beforeLines="100" w:after="100" w:afterLines="100" w:line="360" w:lineRule="auto"/>
        <w:jc w:val="center"/>
        <w:outlineLvl w:val="0"/>
        <w:rPr>
          <w:rFonts w:hint="default" w:ascii="Times New Roman Bold" w:hAnsi="Times New Roman Bold" w:eastAsia="FangSong_GB2312" w:cs="Times New Roman"/>
          <w:b/>
          <w:color w:val="auto"/>
          <w:kern w:val="2"/>
          <w:sz w:val="44"/>
          <w:szCs w:val="28"/>
          <w:highlight w:val="none"/>
          <w:lang w:val="en-US" w:eastAsia="zh-CN" w:bidi="ar-SA"/>
        </w:rPr>
      </w:pPr>
      <w:bookmarkStart w:id="57" w:name="_Toc17048"/>
      <w:r>
        <w:rPr>
          <w:rFonts w:hint="default" w:ascii="Times New Roman Bold" w:hAnsi="Times New Roman Bold" w:eastAsia="FangSong_GB2312" w:cs="Times New Roman"/>
          <w:b/>
          <w:color w:val="auto"/>
          <w:kern w:val="2"/>
          <w:sz w:val="44"/>
          <w:szCs w:val="28"/>
          <w:highlight w:val="none"/>
          <w:lang w:val="en-US" w:eastAsia="zh-CN" w:bidi="ar-SA"/>
        </w:rPr>
        <w:t xml:space="preserve">2 </w:t>
      </w:r>
      <w:r>
        <w:rPr>
          <w:rFonts w:hint="eastAsia" w:ascii="Times New Roman Bold" w:hAnsi="Times New Roman Bold" w:eastAsia="FangSong_GB2312" w:cs="Times New Roman"/>
          <w:b/>
          <w:color w:val="auto"/>
          <w:kern w:val="2"/>
          <w:sz w:val="44"/>
          <w:szCs w:val="28"/>
          <w:highlight w:val="none"/>
          <w:lang w:val="en-US" w:eastAsia="zh-CN" w:bidi="ar-SA"/>
        </w:rPr>
        <w:t>后</w:t>
      </w:r>
      <w:r>
        <w:rPr>
          <w:rFonts w:hint="default" w:ascii="Times New Roman Bold" w:hAnsi="Times New Roman Bold" w:eastAsia="FangSong_GB2312" w:cs="Times New Roman"/>
          <w:b/>
          <w:color w:val="auto"/>
          <w:kern w:val="2"/>
          <w:sz w:val="44"/>
          <w:szCs w:val="28"/>
          <w:highlight w:val="none"/>
          <w:lang w:val="en-US" w:eastAsia="zh-CN" w:bidi="ar-SA"/>
        </w:rPr>
        <w:t>评估基本情况</w:t>
      </w:r>
      <w:bookmarkEnd w:id="57"/>
    </w:p>
    <w:p>
      <w:pPr>
        <w:keepNext/>
        <w:keepLines/>
        <w:widowControl w:val="0"/>
        <w:bidi w:val="0"/>
        <w:snapToGrid/>
        <w:spacing w:before="100" w:beforeLines="100" w:after="100" w:afterLines="100" w:line="360" w:lineRule="auto"/>
        <w:jc w:val="center"/>
        <w:outlineLvl w:val="1"/>
        <w:rPr>
          <w:rFonts w:hint="eastAsia" w:ascii="Times New Roman" w:hAnsi="Times New Roman" w:eastAsia="FangSong_GB2312" w:cs="Times New Roman"/>
          <w:b/>
          <w:bCs/>
          <w:color w:val="auto"/>
          <w:kern w:val="2"/>
          <w:sz w:val="36"/>
          <w:szCs w:val="32"/>
          <w:highlight w:val="none"/>
          <w:lang w:val="en-US" w:eastAsia="zh-CN" w:bidi="ar-SA"/>
        </w:rPr>
      </w:pPr>
      <w:bookmarkStart w:id="58" w:name="_Toc31098"/>
      <w:r>
        <w:rPr>
          <w:rFonts w:hint="eastAsia" w:ascii="Times New Roman" w:hAnsi="Times New Roman" w:eastAsia="FangSong_GB2312" w:cs="Times New Roman"/>
          <w:b/>
          <w:bCs/>
          <w:color w:val="auto"/>
          <w:kern w:val="2"/>
          <w:sz w:val="36"/>
          <w:szCs w:val="32"/>
          <w:highlight w:val="none"/>
          <w:lang w:val="en-US" w:eastAsia="zh-CN" w:bidi="ar-SA"/>
        </w:rPr>
        <w:t>2.1 后评估依据</w:t>
      </w:r>
      <w:bookmarkEnd w:id="58"/>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bookmarkStart w:id="59" w:name="_Toc427543477"/>
      <w:bookmarkStart w:id="60" w:name="_Toc461349701"/>
      <w:bookmarkStart w:id="61" w:name="_Toc333730494"/>
      <w:r>
        <w:rPr>
          <w:rFonts w:hint="eastAsia" w:ascii="仿宋_GB2312" w:hAnsi="仿宋_GB2312" w:eastAsia="仿宋_GB2312" w:cs="仿宋_GB2312"/>
          <w:b/>
          <w:bCs/>
          <w:color w:val="auto"/>
          <w:kern w:val="0"/>
          <w:sz w:val="32"/>
          <w:szCs w:val="32"/>
          <w:highlight w:val="none"/>
          <w:lang w:val="en-US" w:eastAsia="zh-CN" w:bidi="ar-SA"/>
        </w:rPr>
        <w:t>一、相关法律法规</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《中华人民共和国民法典》（国家主席令第四十五号）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《中华人民共和国城乡规划法》（2019修正）</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《中华人民共和国土地管理法》（2019修正）</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二、后评估相关依据</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《重大行政决策程序暂行条例》（国务院令第713号）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《安徽省政府立法后评估办法》（皖府法</w:t>
      </w:r>
      <w:r>
        <w:rPr>
          <w:rFonts w:hint="eastAsia" w:ascii="仿宋_GB2312" w:hAnsi="仿宋_GB2312" w:eastAsia="仿宋_GB2312" w:cs="仿宋_GB2312"/>
          <w:b w:val="0"/>
          <w:bCs w:val="0"/>
          <w:color w:val="auto"/>
          <w:kern w:val="0"/>
          <w:sz w:val="32"/>
          <w:szCs w:val="32"/>
          <w:lang w:val="en-US" w:eastAsia="zh-CN" w:bidi="ar-SA"/>
        </w:rPr>
        <w:t>〔2011〕</w:t>
      </w:r>
      <w:r>
        <w:rPr>
          <w:rFonts w:hint="eastAsia" w:ascii="仿宋_GB2312" w:hAnsi="仿宋_GB2312" w:eastAsia="仿宋_GB2312" w:cs="仿宋_GB2312"/>
          <w:color w:val="auto"/>
          <w:kern w:val="0"/>
          <w:sz w:val="32"/>
          <w:szCs w:val="32"/>
          <w:highlight w:val="none"/>
          <w:lang w:val="en-US" w:eastAsia="zh-CN" w:bidi="ar-SA"/>
        </w:rPr>
        <w:t>52号）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《安徽省重大行政决策程序规定》（</w:t>
      </w:r>
      <w:r>
        <w:rPr>
          <w:rFonts w:hint="eastAsia" w:ascii="仿宋_GB2312" w:hAnsi="仿宋_GB2312" w:eastAsia="仿宋_GB2312" w:cs="仿宋_GB2312"/>
          <w:color w:val="auto"/>
          <w:kern w:val="0"/>
          <w:sz w:val="32"/>
          <w:szCs w:val="32"/>
          <w:highlight w:val="none"/>
          <w:lang w:val="en-US" w:eastAsia="zh-Hans" w:bidi="ar-SA"/>
        </w:rPr>
        <w:t>省</w:t>
      </w:r>
      <w:r>
        <w:rPr>
          <w:rFonts w:hint="eastAsia" w:ascii="仿宋_GB2312" w:hAnsi="仿宋_GB2312" w:eastAsia="仿宋_GB2312" w:cs="仿宋_GB2312"/>
          <w:color w:val="auto"/>
          <w:kern w:val="0"/>
          <w:sz w:val="32"/>
          <w:szCs w:val="32"/>
          <w:highlight w:val="none"/>
          <w:lang w:val="en-US" w:eastAsia="zh-CN" w:bidi="ar-SA"/>
        </w:rPr>
        <w:t>政府令第300号）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lang w:val="en-US" w:eastAsia="zh-CN" w:bidi="ar-SA"/>
        </w:rPr>
      </w:pPr>
      <w:r>
        <w:rPr>
          <w:rFonts w:hint="eastAsia" w:ascii="仿宋_GB2312" w:hAnsi="仿宋_GB2312" w:eastAsia="仿宋_GB2312" w:cs="仿宋_GB2312"/>
          <w:b w:val="0"/>
          <w:bCs w:val="0"/>
          <w:color w:val="auto"/>
          <w:kern w:val="0"/>
          <w:sz w:val="32"/>
          <w:szCs w:val="32"/>
          <w:lang w:val="en-US" w:eastAsia="zh-CN" w:bidi="ar-SA"/>
        </w:rPr>
        <w:t>《淮北市人民政府重大行政决策实施情况跟踪反馈与后评估暂行办法》（淮政办秘〔2023〕28号）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lang w:val="en-US" w:eastAsia="zh-CN" w:bidi="ar-SA"/>
        </w:rPr>
        <w:t>《淮北市司法局关于开展市政府行政规范性文件执行后评估工作的提示函》（2025年3月5日）</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三、城市更新相关政策文件</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《国务院办公厅关于全面推进城镇老旧小区改造工作的指导意见》（国办发〔2020〕23号）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《住房和城乡建设部关于在实施城市更新行动中防止大拆大建问题的通知》（建科〔2021〕63号）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color w:val="auto"/>
          <w:sz w:val="32"/>
          <w:szCs w:val="32"/>
        </w:rPr>
      </w:pPr>
      <w:r>
        <w:rPr>
          <w:rFonts w:hint="eastAsia" w:ascii="仿宋_GB2312" w:hAnsi="仿宋_GB2312" w:eastAsia="仿宋_GB2312" w:cs="仿宋_GB2312"/>
          <w:color w:val="auto"/>
          <w:kern w:val="0"/>
          <w:sz w:val="32"/>
          <w:szCs w:val="32"/>
          <w:highlight w:val="none"/>
          <w:lang w:val="en-US" w:eastAsia="zh-CN" w:bidi="ar-SA"/>
        </w:rPr>
        <w:t>《关于实施城市更新行动推动城市高质量发展实施方案》（皖政办</w:t>
      </w:r>
      <w:r>
        <w:rPr>
          <w:rFonts w:hint="eastAsia" w:ascii="仿宋_GB2312" w:hAnsi="仿宋_GB2312" w:eastAsia="仿宋_GB2312" w:cs="仿宋_GB2312"/>
          <w:b w:val="0"/>
          <w:bCs w:val="0"/>
          <w:color w:val="auto"/>
          <w:kern w:val="0"/>
          <w:sz w:val="32"/>
          <w:szCs w:val="32"/>
          <w:lang w:val="en-US" w:eastAsia="zh-CN" w:bidi="ar-SA"/>
        </w:rPr>
        <w:t>〔2021〕</w:t>
      </w:r>
      <w:r>
        <w:rPr>
          <w:rFonts w:hint="eastAsia" w:ascii="仿宋_GB2312" w:hAnsi="仿宋_GB2312" w:eastAsia="仿宋_GB2312" w:cs="仿宋_GB2312"/>
          <w:color w:val="auto"/>
          <w:kern w:val="0"/>
          <w:sz w:val="32"/>
          <w:szCs w:val="32"/>
          <w:highlight w:val="none"/>
          <w:lang w:val="en-US" w:eastAsia="zh-CN" w:bidi="ar-SA"/>
        </w:rPr>
        <w:t>13号）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32"/>
          <w:szCs w:val="32"/>
          <w:highlight w:val="none"/>
          <w:lang w:val="en-US" w:eastAsia="zh-CN"/>
        </w:rPr>
        <w:t>《支持城市更新的规划与土地政策指引（2023版）》</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lang w:val="en-US" w:eastAsia="zh-CN" w:bidi="ar-SA"/>
        </w:rPr>
      </w:pPr>
      <w:r>
        <w:rPr>
          <w:rFonts w:hint="eastAsia" w:ascii="仿宋_GB2312" w:hAnsi="仿宋_GB2312" w:eastAsia="仿宋_GB2312" w:cs="仿宋_GB2312"/>
          <w:b w:val="0"/>
          <w:bCs w:val="0"/>
          <w:color w:val="auto"/>
          <w:kern w:val="0"/>
          <w:sz w:val="32"/>
          <w:szCs w:val="32"/>
          <w:lang w:val="en-US" w:eastAsia="zh-CN" w:bidi="ar-SA"/>
        </w:rPr>
        <w:t>《淮北市城市更新行动实施方案》淮政办〔2021〕32号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《关于推进城市功能品质活力提升行动深入开展城市更新工作的若干措施》（建城〔2024〕121号）</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《淮北市城市地下管线管理办法》（2023年发布）</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default"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四、相关规划</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《淮北市国土空间总体规划（2021-2035年）》</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《淮北市城市更新专项规划》</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五、其他资料</w:t>
      </w:r>
    </w:p>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《淮北市2024年度城市体检报告》</w:t>
      </w:r>
    </w:p>
    <w:bookmarkEnd w:id="59"/>
    <w:bookmarkEnd w:id="60"/>
    <w:bookmarkEnd w:id="61"/>
    <w:p>
      <w:pPr>
        <w:keepNext w:val="0"/>
        <w:keepLines w:val="0"/>
        <w:pageBreakBefore w:val="0"/>
        <w:widowControl w:val="0"/>
        <w:numPr>
          <w:ilvl w:val="0"/>
          <w:numId w:val="3"/>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Hans" w:bidi="ar-SA"/>
        </w:rPr>
      </w:pPr>
      <w:r>
        <w:rPr>
          <w:rFonts w:hint="eastAsia" w:ascii="仿宋_GB2312" w:hAnsi="仿宋_GB2312" w:eastAsia="仿宋_GB2312" w:cs="仿宋_GB2312"/>
          <w:color w:val="auto"/>
          <w:kern w:val="0"/>
          <w:sz w:val="32"/>
          <w:szCs w:val="32"/>
          <w:highlight w:val="none"/>
          <w:lang w:val="en-US" w:eastAsia="zh-Hans" w:bidi="ar-SA"/>
        </w:rPr>
        <w:t>委托单位提供的其它资料</w:t>
      </w:r>
    </w:p>
    <w:p>
      <w:pPr>
        <w:keepNext/>
        <w:keepLines/>
        <w:widowControl w:val="0"/>
        <w:bidi w:val="0"/>
        <w:snapToGrid/>
        <w:spacing w:before="100" w:beforeLines="100" w:after="100" w:afterLines="100" w:line="360" w:lineRule="auto"/>
        <w:jc w:val="center"/>
        <w:outlineLvl w:val="1"/>
        <w:rPr>
          <w:rFonts w:hint="default" w:ascii="Times New Roman" w:hAnsi="Times New Roman" w:eastAsia="FangSong_GB2312" w:cs="Times New Roman"/>
          <w:b/>
          <w:bCs/>
          <w:color w:val="auto"/>
          <w:kern w:val="2"/>
          <w:sz w:val="36"/>
          <w:szCs w:val="32"/>
          <w:highlight w:val="none"/>
          <w:lang w:val="en-US" w:eastAsia="zh-CN" w:bidi="ar-SA"/>
        </w:rPr>
      </w:pPr>
      <w:bookmarkStart w:id="62" w:name="_Toc29639"/>
      <w:r>
        <w:rPr>
          <w:rFonts w:hint="eastAsia" w:ascii="Times New Roman" w:hAnsi="Times New Roman" w:eastAsia="FangSong_GB2312" w:cs="Times New Roman"/>
          <w:b/>
          <w:bCs/>
          <w:color w:val="auto"/>
          <w:kern w:val="2"/>
          <w:sz w:val="36"/>
          <w:szCs w:val="32"/>
          <w:highlight w:val="none"/>
          <w:lang w:val="en-US" w:eastAsia="zh-CN" w:bidi="ar-SA"/>
        </w:rPr>
        <w:t>2.2 后评估准备阶段</w:t>
      </w:r>
      <w:bookmarkEnd w:id="62"/>
    </w:p>
    <w:p>
      <w:pPr>
        <w:keepNext/>
        <w:keepLines/>
        <w:widowControl w:val="0"/>
        <w:spacing w:before="157" w:beforeLines="50" w:after="157" w:afterLines="50" w:line="360" w:lineRule="auto"/>
        <w:jc w:val="both"/>
        <w:outlineLvl w:val="2"/>
        <w:rPr>
          <w:rFonts w:hint="default"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 xml:space="preserve">2.2.1 </w:t>
      </w:r>
      <w:r>
        <w:rPr>
          <w:rFonts w:hint="default" w:ascii="仿宋_GB2312" w:hAnsi="仿宋_GB2312" w:eastAsia="仿宋_GB2312" w:cs="仿宋_GB2312"/>
          <w:b/>
          <w:bCs/>
          <w:color w:val="auto"/>
          <w:kern w:val="2"/>
          <w:sz w:val="32"/>
          <w:szCs w:val="32"/>
          <w:highlight w:val="none"/>
          <w:lang w:val="en-US" w:eastAsia="zh-CN" w:bidi="ar-SA"/>
        </w:rPr>
        <w:t>成立</w:t>
      </w:r>
      <w:r>
        <w:rPr>
          <w:rFonts w:hint="eastAsia" w:ascii="仿宋_GB2312" w:hAnsi="仿宋_GB2312" w:eastAsia="仿宋_GB2312" w:cs="仿宋_GB2312"/>
          <w:b/>
          <w:bCs/>
          <w:color w:val="auto"/>
          <w:kern w:val="2"/>
          <w:sz w:val="32"/>
          <w:szCs w:val="32"/>
          <w:highlight w:val="none"/>
          <w:lang w:val="en-US" w:eastAsia="zh-CN" w:bidi="ar-SA"/>
        </w:rPr>
        <w:t>评估</w:t>
      </w:r>
      <w:r>
        <w:rPr>
          <w:rFonts w:hint="default" w:ascii="仿宋_GB2312" w:hAnsi="仿宋_GB2312" w:eastAsia="仿宋_GB2312" w:cs="仿宋_GB2312"/>
          <w:b/>
          <w:bCs/>
          <w:color w:val="auto"/>
          <w:kern w:val="2"/>
          <w:sz w:val="32"/>
          <w:szCs w:val="32"/>
          <w:highlight w:val="none"/>
          <w:lang w:val="en-US" w:eastAsia="zh-CN" w:bidi="ar-SA"/>
        </w:rPr>
        <w:t>小组</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评估主体：淮北市住房和城乡建设局</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Hans" w:bidi="ar-SA"/>
        </w:rPr>
        <w:t>评估方式：委托第三方专业机构评估。接受委托的第三方机构为：</w:t>
      </w:r>
      <w:r>
        <w:rPr>
          <w:rFonts w:hint="default" w:ascii="仿宋_GB2312" w:hAnsi="仿宋_GB2312" w:eastAsia="仿宋_GB2312" w:cs="仿宋_GB2312"/>
          <w:b w:val="0"/>
          <w:bCs w:val="0"/>
          <w:color w:val="auto"/>
          <w:kern w:val="0"/>
          <w:sz w:val="32"/>
          <w:szCs w:val="32"/>
          <w:highlight w:val="none"/>
          <w:lang w:val="en-US" w:eastAsia="zh-CN" w:bidi="ar-SA"/>
        </w:rPr>
        <w:t>安徽相皖国泰风险管理咨询有限公司</w:t>
      </w:r>
      <w:r>
        <w:rPr>
          <w:rFonts w:hint="default" w:ascii="仿宋_GB2312" w:hAnsi="仿宋_GB2312" w:eastAsia="仿宋_GB2312" w:cs="仿宋_GB2312"/>
          <w:b w:val="0"/>
          <w:bCs w:val="0"/>
          <w:color w:val="auto"/>
          <w:kern w:val="0"/>
          <w:sz w:val="32"/>
          <w:szCs w:val="32"/>
          <w:highlight w:val="none"/>
          <w:lang w:val="en-US" w:eastAsia="zh-Hans" w:bidi="ar-SA"/>
        </w:rPr>
        <w:t>。</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评估小组由评估主体与评估机构共同组成。</w:t>
      </w:r>
    </w:p>
    <w:p>
      <w:pPr>
        <w:keepNext/>
        <w:keepLines/>
        <w:widowControl w:val="0"/>
        <w:spacing w:before="157" w:beforeLines="50" w:after="157" w:afterLines="50" w:line="360" w:lineRule="auto"/>
        <w:jc w:val="both"/>
        <w:outlineLvl w:val="2"/>
        <w:rPr>
          <w:rFonts w:hint="default"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 xml:space="preserve">2.2.2 </w:t>
      </w:r>
      <w:r>
        <w:rPr>
          <w:rFonts w:hint="default" w:ascii="仿宋_GB2312" w:hAnsi="仿宋_GB2312" w:eastAsia="仿宋_GB2312" w:cs="仿宋_GB2312"/>
          <w:b/>
          <w:bCs/>
          <w:color w:val="auto"/>
          <w:kern w:val="2"/>
          <w:sz w:val="32"/>
          <w:szCs w:val="32"/>
          <w:highlight w:val="none"/>
          <w:lang w:val="en-US" w:eastAsia="zh-CN" w:bidi="ar-SA"/>
        </w:rPr>
        <w:t>制定</w:t>
      </w:r>
      <w:r>
        <w:rPr>
          <w:rFonts w:hint="eastAsia" w:ascii="仿宋_GB2312" w:hAnsi="仿宋_GB2312" w:eastAsia="仿宋_GB2312" w:cs="仿宋_GB2312"/>
          <w:b/>
          <w:bCs/>
          <w:color w:val="auto"/>
          <w:kern w:val="2"/>
          <w:sz w:val="32"/>
          <w:szCs w:val="32"/>
          <w:highlight w:val="none"/>
          <w:lang w:val="en-US" w:eastAsia="zh-CN" w:bidi="ar-SA"/>
        </w:rPr>
        <w:t>评估</w:t>
      </w:r>
      <w:r>
        <w:rPr>
          <w:rFonts w:hint="default" w:ascii="仿宋_GB2312" w:hAnsi="仿宋_GB2312" w:eastAsia="仿宋_GB2312" w:cs="仿宋_GB2312"/>
          <w:b/>
          <w:bCs/>
          <w:color w:val="auto"/>
          <w:kern w:val="2"/>
          <w:sz w:val="32"/>
          <w:szCs w:val="32"/>
          <w:highlight w:val="none"/>
          <w:lang w:val="en-US" w:eastAsia="zh-CN" w:bidi="ar-SA"/>
        </w:rPr>
        <w:t>方案</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default"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一、评估目的</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全面调查、评估《淮北市城市更新暂行办法》（淮政办〔2023〕6号）执行情况</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分析论证决策的执行结果与决策的制定目的相符性，决策实施的成本、效益，社会公众和利益相关方的评价意见，决策实施与经济社会发展的符合程度，决策执行带来的近期效益和长远影响，主要经验、教训、措施和建议等。</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default"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二、评估标准</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依据《安徽省政府立法后评估办法》（皖府法﹙2011﹞52号）</w:t>
      </w:r>
      <w:r>
        <w:rPr>
          <w:rFonts w:hint="eastAsia" w:ascii="仿宋_GB2312" w:hAnsi="仿宋_GB2312" w:eastAsia="仿宋_GB2312" w:cs="仿宋_GB2312"/>
          <w:b w:val="0"/>
          <w:bCs w:val="0"/>
          <w:color w:val="auto"/>
          <w:kern w:val="0"/>
          <w:sz w:val="32"/>
          <w:szCs w:val="32"/>
          <w:highlight w:val="none"/>
          <w:lang w:val="en-US" w:eastAsia="zh-CN" w:bidi="ar-SA"/>
        </w:rPr>
        <w:t>，此次</w:t>
      </w:r>
      <w:r>
        <w:rPr>
          <w:rFonts w:hint="default" w:ascii="仿宋_GB2312" w:hAnsi="仿宋_GB2312" w:eastAsia="仿宋_GB2312" w:cs="仿宋_GB2312"/>
          <w:b w:val="0"/>
          <w:bCs w:val="0"/>
          <w:color w:val="auto"/>
          <w:kern w:val="0"/>
          <w:sz w:val="32"/>
          <w:szCs w:val="32"/>
          <w:highlight w:val="none"/>
          <w:lang w:val="en-US" w:eastAsia="zh-CN" w:bidi="ar-SA"/>
        </w:rPr>
        <w:t>后评估</w:t>
      </w:r>
      <w:r>
        <w:rPr>
          <w:rFonts w:hint="eastAsia" w:ascii="仿宋_GB2312" w:hAnsi="仿宋_GB2312" w:eastAsia="仿宋_GB2312" w:cs="仿宋_GB2312"/>
          <w:b w:val="0"/>
          <w:bCs w:val="0"/>
          <w:color w:val="auto"/>
          <w:kern w:val="0"/>
          <w:sz w:val="32"/>
          <w:szCs w:val="32"/>
          <w:highlight w:val="none"/>
          <w:lang w:val="en-US" w:eastAsia="zh-CN" w:bidi="ar-SA"/>
        </w:rPr>
        <w:t>标准为</w:t>
      </w:r>
      <w:r>
        <w:rPr>
          <w:rFonts w:hint="default" w:ascii="仿宋_GB2312" w:hAnsi="仿宋_GB2312" w:eastAsia="仿宋_GB2312" w:cs="仿宋_GB2312"/>
          <w:b w:val="0"/>
          <w:bCs w:val="0"/>
          <w:color w:val="auto"/>
          <w:kern w:val="0"/>
          <w:sz w:val="32"/>
          <w:szCs w:val="32"/>
          <w:highlight w:val="none"/>
          <w:lang w:val="en-US" w:eastAsia="zh-CN" w:bidi="ar-SA"/>
        </w:rPr>
        <w:t>：合法性</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合理性</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协调性</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操作性</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实效性</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规范性。</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default"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三、评估方法</w:t>
      </w:r>
    </w:p>
    <w:p>
      <w:pPr>
        <w:keepNext w:val="0"/>
        <w:keepLines w:val="0"/>
        <w:pageBreakBefore w:val="0"/>
        <w:widowControl w:val="0"/>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本次后评估采取文献法、观察法</w:t>
      </w:r>
      <w:r>
        <w:rPr>
          <w:rFonts w:hint="eastAsia" w:ascii="仿宋_GB2312" w:hAnsi="仿宋_GB2312" w:eastAsia="仿宋_GB2312" w:cs="仿宋_GB2312"/>
          <w:b w:val="0"/>
          <w:bCs w:val="0"/>
          <w:color w:val="auto"/>
          <w:kern w:val="0"/>
          <w:sz w:val="32"/>
          <w:szCs w:val="32"/>
          <w:highlight w:val="none"/>
          <w:lang w:val="en-US" w:eastAsia="zh-Hans" w:bidi="ar-SA"/>
        </w:rPr>
        <w:t>、</w:t>
      </w:r>
      <w:r>
        <w:rPr>
          <w:rFonts w:hint="eastAsia" w:ascii="仿宋_GB2312" w:hAnsi="仿宋_GB2312" w:eastAsia="仿宋_GB2312" w:cs="仿宋_GB2312"/>
          <w:b w:val="0"/>
          <w:bCs w:val="0"/>
          <w:color w:val="auto"/>
          <w:kern w:val="0"/>
          <w:sz w:val="32"/>
          <w:szCs w:val="32"/>
          <w:highlight w:val="none"/>
          <w:lang w:val="en-US" w:eastAsia="zh-CN" w:bidi="ar-SA"/>
        </w:rPr>
        <w:t>访谈法、问卷法</w:t>
      </w:r>
      <w:r>
        <w:rPr>
          <w:rFonts w:hint="eastAsia" w:ascii="仿宋_GB2312" w:hAnsi="仿宋_GB2312" w:eastAsia="仿宋_GB2312" w:cs="仿宋_GB2312"/>
          <w:b w:val="0"/>
          <w:bCs w:val="0"/>
          <w:color w:val="auto"/>
          <w:kern w:val="0"/>
          <w:sz w:val="32"/>
          <w:szCs w:val="32"/>
          <w:highlight w:val="none"/>
          <w:lang w:val="en-US" w:eastAsia="zh-Hans" w:bidi="ar-SA"/>
        </w:rPr>
        <w:t>、</w:t>
      </w:r>
      <w:r>
        <w:rPr>
          <w:rFonts w:hint="eastAsia" w:ascii="仿宋_GB2312" w:hAnsi="仿宋_GB2312" w:eastAsia="仿宋_GB2312" w:cs="仿宋_GB2312"/>
          <w:b w:val="0"/>
          <w:bCs w:val="0"/>
          <w:color w:val="auto"/>
          <w:kern w:val="0"/>
          <w:sz w:val="32"/>
          <w:szCs w:val="32"/>
          <w:highlight w:val="none"/>
          <w:lang w:val="en-US" w:eastAsia="zh-CN" w:bidi="ar-SA"/>
        </w:rPr>
        <w:t>座谈法、舆情分析</w:t>
      </w:r>
      <w:r>
        <w:rPr>
          <w:rFonts w:hint="eastAsia" w:ascii="仿宋_GB2312" w:hAnsi="仿宋_GB2312" w:eastAsia="仿宋_GB2312" w:cs="仿宋_GB2312"/>
          <w:b w:val="0"/>
          <w:bCs w:val="0"/>
          <w:color w:val="auto"/>
          <w:kern w:val="0"/>
          <w:sz w:val="32"/>
          <w:szCs w:val="32"/>
          <w:highlight w:val="none"/>
          <w:lang w:val="en-US" w:eastAsia="zh-Hans" w:bidi="ar-SA"/>
        </w:rPr>
        <w:t>法</w:t>
      </w:r>
      <w:r>
        <w:rPr>
          <w:rFonts w:hint="eastAsia" w:ascii="仿宋_GB2312" w:hAnsi="仿宋_GB2312" w:eastAsia="仿宋_GB2312" w:cs="仿宋_GB2312"/>
          <w:b w:val="0"/>
          <w:bCs w:val="0"/>
          <w:color w:val="auto"/>
          <w:kern w:val="0"/>
          <w:sz w:val="32"/>
          <w:szCs w:val="32"/>
          <w:highlight w:val="none"/>
          <w:lang w:val="en-US" w:eastAsia="zh-CN" w:bidi="ar-SA"/>
        </w:rPr>
        <w:t>等方式方法开展调查。</w:t>
      </w:r>
    </w:p>
    <w:p>
      <w:pPr>
        <w:keepNext w:val="0"/>
        <w:keepLines w:val="0"/>
        <w:pageBreakBefore w:val="0"/>
        <w:widowControl w:val="0"/>
        <w:numPr>
          <w:ilvl w:val="0"/>
          <w:numId w:val="0"/>
        </w:numPr>
        <w:tabs>
          <w:tab w:val="left" w:pos="0"/>
        </w:tabs>
        <w:kinsoku/>
        <w:wordWrap/>
        <w:overflowPunct/>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sz w:val="32"/>
          <w:szCs w:val="32"/>
          <w:highlight w:val="none"/>
          <w:lang w:val="en-US" w:eastAsia="zh-Hans"/>
        </w:rPr>
      </w:pPr>
      <w:r>
        <w:rPr>
          <w:rFonts w:hint="eastAsia" w:ascii="Times New Roman Bold" w:hAnsi="Times New Roman Bold" w:eastAsia="仿宋_GB2312" w:cs="仿宋_GB2312"/>
          <w:b w:val="0"/>
          <w:bCs w:val="0"/>
          <w:color w:val="auto"/>
          <w:kern w:val="2"/>
          <w:sz w:val="32"/>
          <w:szCs w:val="32"/>
          <w:highlight w:val="none"/>
          <w:lang w:val="en-US" w:eastAsia="zh-CN" w:bidi="ar-SA"/>
        </w:rPr>
        <w:t>（一）</w:t>
      </w:r>
      <w:r>
        <w:rPr>
          <w:rFonts w:hint="eastAsia" w:ascii="仿宋_GB2312" w:hAnsi="仿宋_GB2312" w:eastAsia="仿宋_GB2312" w:cs="仿宋_GB2312"/>
          <w:b w:val="0"/>
          <w:bCs w:val="0"/>
          <w:color w:val="auto"/>
          <w:sz w:val="32"/>
          <w:szCs w:val="32"/>
          <w:highlight w:val="none"/>
        </w:rPr>
        <w:t>文献法。对于</w:t>
      </w:r>
      <w:r>
        <w:rPr>
          <w:rFonts w:hint="eastAsia" w:ascii="仿宋_GB2312" w:hAnsi="仿宋_GB2312" w:eastAsia="仿宋_GB2312" w:cs="仿宋_GB2312"/>
          <w:b w:val="0"/>
          <w:bCs w:val="0"/>
          <w:color w:val="auto"/>
          <w:sz w:val="32"/>
          <w:szCs w:val="32"/>
          <w:highlight w:val="none"/>
          <w:lang w:eastAsia="zh-Hans"/>
        </w:rPr>
        <w:t>评估</w:t>
      </w:r>
      <w:r>
        <w:rPr>
          <w:rFonts w:hint="eastAsia" w:ascii="仿宋_GB2312" w:hAnsi="仿宋_GB2312" w:eastAsia="仿宋_GB2312" w:cs="仿宋_GB2312"/>
          <w:b w:val="0"/>
          <w:bCs w:val="0"/>
          <w:color w:val="auto"/>
          <w:sz w:val="32"/>
          <w:szCs w:val="32"/>
          <w:highlight w:val="none"/>
        </w:rPr>
        <w:t>事项</w:t>
      </w:r>
      <w:r>
        <w:rPr>
          <w:rFonts w:hint="eastAsia" w:ascii="仿宋_GB2312" w:hAnsi="仿宋_GB2312" w:eastAsia="仿宋_GB2312" w:cs="仿宋_GB2312"/>
          <w:b w:val="0"/>
          <w:bCs w:val="0"/>
          <w:color w:val="auto"/>
          <w:sz w:val="32"/>
          <w:szCs w:val="32"/>
          <w:highlight w:val="none"/>
          <w:lang w:eastAsia="zh-CN"/>
        </w:rPr>
        <w:t>与上位</w:t>
      </w:r>
      <w:r>
        <w:rPr>
          <w:rFonts w:hint="eastAsia" w:ascii="仿宋_GB2312" w:hAnsi="仿宋_GB2312" w:eastAsia="仿宋_GB2312" w:cs="仿宋_GB2312"/>
          <w:b w:val="0"/>
          <w:bCs w:val="0"/>
          <w:color w:val="auto"/>
          <w:sz w:val="32"/>
          <w:szCs w:val="32"/>
          <w:highlight w:val="none"/>
          <w:lang w:val="en-US" w:eastAsia="zh-Hans"/>
        </w:rPr>
        <w:t>法律法规、政策</w:t>
      </w:r>
      <w:r>
        <w:rPr>
          <w:rFonts w:hint="eastAsia" w:ascii="仿宋_GB2312" w:hAnsi="仿宋_GB2312" w:eastAsia="仿宋_GB2312" w:cs="仿宋_GB2312"/>
          <w:b w:val="0"/>
          <w:bCs w:val="0"/>
          <w:color w:val="auto"/>
          <w:sz w:val="32"/>
          <w:szCs w:val="32"/>
          <w:highlight w:val="none"/>
          <w:lang w:val="en-US" w:eastAsia="zh-CN"/>
        </w:rPr>
        <w:t>的</w:t>
      </w:r>
      <w:r>
        <w:rPr>
          <w:rFonts w:hint="eastAsia" w:ascii="仿宋_GB2312" w:hAnsi="仿宋_GB2312" w:eastAsia="仿宋_GB2312" w:cs="仿宋_GB2312"/>
          <w:b w:val="0"/>
          <w:bCs w:val="0"/>
          <w:color w:val="auto"/>
          <w:sz w:val="32"/>
          <w:szCs w:val="32"/>
          <w:highlight w:val="none"/>
          <w:lang w:val="en-US" w:eastAsia="zh-Hans"/>
        </w:rPr>
        <w:t>符合性分析</w:t>
      </w:r>
      <w:r>
        <w:rPr>
          <w:rFonts w:hint="eastAsia" w:ascii="仿宋_GB2312" w:hAnsi="仿宋_GB2312" w:eastAsia="仿宋_GB2312" w:cs="仿宋_GB2312"/>
          <w:b w:val="0"/>
          <w:bCs w:val="0"/>
          <w:color w:val="auto"/>
          <w:sz w:val="32"/>
          <w:szCs w:val="32"/>
          <w:highlight w:val="none"/>
          <w:lang w:val="en-US" w:eastAsia="zh-CN"/>
        </w:rPr>
        <w:t>，主要是通过收集、查阅相关文案资料来进行，即采用文献法。</w:t>
      </w:r>
    </w:p>
    <w:p>
      <w:pPr>
        <w:keepNext w:val="0"/>
        <w:keepLines w:val="0"/>
        <w:pageBreakBefore w:val="0"/>
        <w:widowControl w:val="0"/>
        <w:numPr>
          <w:ilvl w:val="0"/>
          <w:numId w:val="0"/>
        </w:numPr>
        <w:tabs>
          <w:tab w:val="left" w:pos="0"/>
        </w:tabs>
        <w:kinsoku/>
        <w:wordWrap/>
        <w:overflowPunct/>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Times New Roman Bold" w:hAnsi="Times New Roman Bold" w:eastAsia="仿宋_GB2312" w:cs="仿宋_GB2312"/>
          <w:b w:val="0"/>
          <w:bCs w:val="0"/>
          <w:color w:val="auto"/>
          <w:kern w:val="2"/>
          <w:sz w:val="32"/>
          <w:szCs w:val="32"/>
          <w:highlight w:val="none"/>
          <w:lang w:val="en-US" w:eastAsia="zh-CN" w:bidi="ar-SA"/>
        </w:rPr>
        <w:t>（二）</w:t>
      </w:r>
      <w:r>
        <w:rPr>
          <w:rFonts w:hint="eastAsia" w:ascii="仿宋_GB2312" w:hAnsi="仿宋_GB2312" w:eastAsia="仿宋_GB2312" w:cs="仿宋_GB2312"/>
          <w:b w:val="0"/>
          <w:bCs w:val="0"/>
          <w:color w:val="auto"/>
          <w:sz w:val="32"/>
          <w:szCs w:val="32"/>
          <w:highlight w:val="none"/>
        </w:rPr>
        <w:t>观察法。进行实地踏勘，通过直观或辅助设备观察，了解</w:t>
      </w:r>
      <w:r>
        <w:rPr>
          <w:rFonts w:hint="eastAsia" w:ascii="仿宋_GB2312" w:hAnsi="仿宋_GB2312" w:eastAsia="仿宋_GB2312" w:cs="仿宋_GB2312"/>
          <w:b w:val="0"/>
          <w:bCs w:val="0"/>
          <w:color w:val="auto"/>
          <w:sz w:val="32"/>
          <w:szCs w:val="32"/>
          <w:highlight w:val="none"/>
          <w:lang w:eastAsia="zh-Hans"/>
        </w:rPr>
        <w:t>实施地</w:t>
      </w:r>
      <w:r>
        <w:rPr>
          <w:rFonts w:hint="eastAsia" w:ascii="仿宋_GB2312" w:hAnsi="仿宋_GB2312" w:eastAsia="仿宋_GB2312" w:cs="仿宋_GB2312"/>
          <w:b w:val="0"/>
          <w:bCs w:val="0"/>
          <w:color w:val="auto"/>
          <w:sz w:val="32"/>
          <w:szCs w:val="32"/>
          <w:highlight w:val="none"/>
        </w:rPr>
        <w:t>现状及周边环境、可能受影响的</w:t>
      </w:r>
      <w:r>
        <w:rPr>
          <w:rFonts w:hint="eastAsia" w:ascii="仿宋_GB2312" w:hAnsi="仿宋_GB2312" w:eastAsia="仿宋_GB2312" w:cs="仿宋_GB2312"/>
          <w:b w:val="0"/>
          <w:bCs w:val="0"/>
          <w:color w:val="auto"/>
          <w:sz w:val="32"/>
          <w:szCs w:val="32"/>
          <w:highlight w:val="none"/>
          <w:lang w:eastAsia="zh-Hans"/>
        </w:rPr>
        <w:t>个体</w:t>
      </w:r>
      <w:r>
        <w:rPr>
          <w:rFonts w:hint="eastAsia" w:ascii="仿宋_GB2312" w:hAnsi="仿宋_GB2312" w:eastAsia="仿宋_GB2312" w:cs="仿宋_GB2312"/>
          <w:b w:val="0"/>
          <w:bCs w:val="0"/>
          <w:color w:val="auto"/>
          <w:sz w:val="32"/>
          <w:szCs w:val="32"/>
          <w:highlight w:val="none"/>
        </w:rPr>
        <w:t>、企事业单位</w:t>
      </w:r>
      <w:r>
        <w:rPr>
          <w:rFonts w:hint="eastAsia" w:ascii="仿宋_GB2312" w:hAnsi="仿宋_GB2312" w:eastAsia="仿宋_GB2312" w:cs="仿宋_GB2312"/>
          <w:b w:val="0"/>
          <w:bCs w:val="0"/>
          <w:color w:val="auto"/>
          <w:sz w:val="32"/>
          <w:szCs w:val="32"/>
          <w:highlight w:val="none"/>
          <w:lang w:eastAsia="zh-Hans"/>
        </w:rPr>
        <w:t>、社会团体、组织</w:t>
      </w:r>
      <w:r>
        <w:rPr>
          <w:rFonts w:hint="eastAsia" w:ascii="仿宋_GB2312" w:hAnsi="仿宋_GB2312" w:eastAsia="仿宋_GB2312" w:cs="仿宋_GB2312"/>
          <w:b w:val="0"/>
          <w:bCs w:val="0"/>
          <w:color w:val="auto"/>
          <w:sz w:val="32"/>
          <w:szCs w:val="32"/>
          <w:highlight w:val="none"/>
        </w:rPr>
        <w:t>等</w:t>
      </w:r>
      <w:r>
        <w:rPr>
          <w:rFonts w:hint="eastAsia" w:ascii="仿宋_GB2312" w:hAnsi="仿宋_GB2312" w:eastAsia="仿宋_GB2312" w:cs="仿宋_GB2312"/>
          <w:b w:val="0"/>
          <w:bCs w:val="0"/>
          <w:color w:val="auto"/>
          <w:sz w:val="32"/>
          <w:szCs w:val="32"/>
          <w:highlight w:val="none"/>
          <w:lang w:eastAsia="zh-Hans"/>
        </w:rPr>
        <w:t>情况</w:t>
      </w:r>
      <w:r>
        <w:rPr>
          <w:rFonts w:hint="eastAsia" w:ascii="仿宋_GB2312" w:hAnsi="仿宋_GB2312" w:eastAsia="仿宋_GB2312" w:cs="仿宋_GB2312"/>
          <w:b w:val="0"/>
          <w:bCs w:val="0"/>
          <w:color w:val="auto"/>
          <w:sz w:val="32"/>
          <w:szCs w:val="32"/>
          <w:highlight w:val="none"/>
        </w:rPr>
        <w:t>。</w:t>
      </w:r>
    </w:p>
    <w:p>
      <w:pPr>
        <w:keepNext w:val="0"/>
        <w:keepLines w:val="0"/>
        <w:pageBreakBefore w:val="0"/>
        <w:widowControl w:val="0"/>
        <w:numPr>
          <w:ilvl w:val="0"/>
          <w:numId w:val="0"/>
        </w:numPr>
        <w:tabs>
          <w:tab w:val="left" w:pos="0"/>
        </w:tabs>
        <w:kinsoku/>
        <w:wordWrap/>
        <w:overflowPunct/>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kern w:val="2"/>
          <w:sz w:val="32"/>
          <w:szCs w:val="32"/>
          <w:highlight w:val="none"/>
          <w:lang w:val="en-US" w:eastAsia="zh-CN" w:bidi="ar-SA"/>
        </w:rPr>
      </w:pPr>
      <w:r>
        <w:rPr>
          <w:rFonts w:hint="eastAsia" w:ascii="Times New Roman Bold" w:hAnsi="Times New Roman Bold" w:eastAsia="仿宋_GB2312" w:cs="仿宋_GB2312"/>
          <w:b w:val="0"/>
          <w:bCs w:val="0"/>
          <w:color w:val="auto"/>
          <w:kern w:val="2"/>
          <w:sz w:val="32"/>
          <w:szCs w:val="32"/>
          <w:highlight w:val="none"/>
          <w:lang w:val="en-US" w:eastAsia="zh-CN" w:bidi="ar-SA"/>
        </w:rPr>
        <w:t>（三）</w:t>
      </w:r>
      <w:r>
        <w:rPr>
          <w:rFonts w:hint="eastAsia" w:ascii="仿宋_GB2312" w:hAnsi="仿宋_GB2312" w:eastAsia="仿宋_GB2312" w:cs="仿宋_GB2312"/>
          <w:b w:val="0"/>
          <w:bCs w:val="0"/>
          <w:color w:val="auto"/>
          <w:sz w:val="32"/>
          <w:szCs w:val="32"/>
          <w:highlight w:val="none"/>
        </w:rPr>
        <w:t>访谈法。对于各级党政部门、基层政府和基层组织、企事业单位的调查采用</w:t>
      </w:r>
      <w:r>
        <w:rPr>
          <w:rFonts w:hint="eastAsia" w:ascii="仿宋_GB2312" w:hAnsi="仿宋_GB2312" w:eastAsia="仿宋_GB2312" w:cs="仿宋_GB2312"/>
          <w:b w:val="0"/>
          <w:bCs w:val="0"/>
          <w:color w:val="auto"/>
          <w:sz w:val="32"/>
          <w:szCs w:val="32"/>
          <w:highlight w:val="none"/>
          <w:lang w:eastAsia="zh-Hans"/>
        </w:rPr>
        <w:t>半</w:t>
      </w:r>
      <w:r>
        <w:rPr>
          <w:rFonts w:hint="eastAsia" w:ascii="仿宋_GB2312" w:hAnsi="仿宋_GB2312" w:eastAsia="仿宋_GB2312" w:cs="仿宋_GB2312"/>
          <w:b w:val="0"/>
          <w:bCs w:val="0"/>
          <w:color w:val="auto"/>
          <w:sz w:val="32"/>
          <w:szCs w:val="32"/>
          <w:highlight w:val="none"/>
        </w:rPr>
        <w:t>结构</w:t>
      </w:r>
      <w:r>
        <w:rPr>
          <w:rFonts w:hint="eastAsia" w:ascii="仿宋_GB2312" w:hAnsi="仿宋_GB2312" w:eastAsia="仿宋_GB2312" w:cs="仿宋_GB2312"/>
          <w:b w:val="0"/>
          <w:bCs w:val="0"/>
          <w:color w:val="auto"/>
          <w:sz w:val="32"/>
          <w:szCs w:val="32"/>
          <w:highlight w:val="none"/>
          <w:lang w:eastAsia="zh-Hans"/>
        </w:rPr>
        <w:t>式</w:t>
      </w:r>
      <w:r>
        <w:rPr>
          <w:rFonts w:hint="eastAsia" w:ascii="仿宋_GB2312" w:hAnsi="仿宋_GB2312" w:eastAsia="仿宋_GB2312" w:cs="仿宋_GB2312"/>
          <w:b w:val="0"/>
          <w:bCs w:val="0"/>
          <w:color w:val="auto"/>
          <w:sz w:val="32"/>
          <w:szCs w:val="32"/>
          <w:highlight w:val="none"/>
        </w:rPr>
        <w:t>访谈法。设计访谈</w:t>
      </w:r>
      <w:r>
        <w:rPr>
          <w:rFonts w:hint="eastAsia" w:ascii="仿宋_GB2312" w:hAnsi="仿宋_GB2312" w:eastAsia="仿宋_GB2312" w:cs="仿宋_GB2312"/>
          <w:b w:val="0"/>
          <w:bCs w:val="0"/>
          <w:color w:val="auto"/>
          <w:sz w:val="32"/>
          <w:szCs w:val="32"/>
          <w:highlight w:val="none"/>
          <w:lang w:eastAsia="zh-Hans"/>
        </w:rPr>
        <w:t>提纲</w:t>
      </w:r>
      <w:r>
        <w:rPr>
          <w:rFonts w:hint="eastAsia" w:ascii="仿宋_GB2312" w:hAnsi="仿宋_GB2312" w:eastAsia="仿宋_GB2312" w:cs="仿宋_GB2312"/>
          <w:b w:val="0"/>
          <w:bCs w:val="0"/>
          <w:color w:val="auto"/>
          <w:sz w:val="32"/>
          <w:szCs w:val="32"/>
          <w:highlight w:val="none"/>
        </w:rPr>
        <w:t>，</w:t>
      </w:r>
      <w:r>
        <w:rPr>
          <w:rFonts w:hint="eastAsia" w:ascii="仿宋_GB2312" w:hAnsi="仿宋_GB2312" w:eastAsia="仿宋_GB2312" w:cs="仿宋_GB2312"/>
          <w:b w:val="0"/>
          <w:bCs w:val="0"/>
          <w:color w:val="auto"/>
          <w:sz w:val="32"/>
          <w:szCs w:val="32"/>
          <w:highlight w:val="none"/>
          <w:lang w:eastAsia="zh-Hans"/>
        </w:rPr>
        <w:t>实地走访相关单位和个人，</w:t>
      </w:r>
      <w:r>
        <w:rPr>
          <w:rFonts w:hint="eastAsia" w:ascii="仿宋_GB2312" w:hAnsi="仿宋_GB2312" w:eastAsia="仿宋_GB2312" w:cs="仿宋_GB2312"/>
          <w:b w:val="0"/>
          <w:bCs w:val="0"/>
          <w:color w:val="auto"/>
          <w:sz w:val="32"/>
          <w:szCs w:val="32"/>
          <w:highlight w:val="none"/>
        </w:rPr>
        <w:t>了解其对决策事项实施的态度和意见。对于部分</w:t>
      </w:r>
      <w:r>
        <w:rPr>
          <w:rFonts w:hint="eastAsia" w:ascii="仿宋_GB2312" w:hAnsi="仿宋_GB2312" w:eastAsia="仿宋_GB2312" w:cs="仿宋_GB2312"/>
          <w:b w:val="0"/>
          <w:bCs w:val="0"/>
          <w:color w:val="auto"/>
          <w:sz w:val="32"/>
          <w:szCs w:val="32"/>
          <w:highlight w:val="none"/>
          <w:lang w:eastAsia="zh-Hans"/>
        </w:rPr>
        <w:t>特殊</w:t>
      </w:r>
      <w:r>
        <w:rPr>
          <w:rFonts w:hint="eastAsia" w:ascii="仿宋_GB2312" w:hAnsi="仿宋_GB2312" w:eastAsia="仿宋_GB2312" w:cs="仿宋_GB2312"/>
          <w:b w:val="0"/>
          <w:bCs w:val="0"/>
          <w:color w:val="auto"/>
          <w:sz w:val="32"/>
          <w:szCs w:val="32"/>
          <w:highlight w:val="none"/>
        </w:rPr>
        <w:t>调查对象，评估单位采用电话访谈、咨询</w:t>
      </w:r>
      <w:r>
        <w:rPr>
          <w:rFonts w:hint="eastAsia" w:ascii="仿宋_GB2312" w:hAnsi="仿宋_GB2312" w:eastAsia="仿宋_GB2312" w:cs="仿宋_GB2312"/>
          <w:b w:val="0"/>
          <w:bCs w:val="0"/>
          <w:color w:val="auto"/>
          <w:sz w:val="32"/>
          <w:szCs w:val="32"/>
          <w:highlight w:val="none"/>
          <w:lang w:eastAsia="zh-Hans"/>
        </w:rPr>
        <w:t>知情人</w:t>
      </w:r>
      <w:r>
        <w:rPr>
          <w:rFonts w:hint="eastAsia" w:ascii="仿宋_GB2312" w:hAnsi="仿宋_GB2312" w:eastAsia="仿宋_GB2312" w:cs="仿宋_GB2312"/>
          <w:b w:val="0"/>
          <w:bCs w:val="0"/>
          <w:color w:val="auto"/>
          <w:sz w:val="32"/>
          <w:szCs w:val="32"/>
          <w:highlight w:val="none"/>
        </w:rPr>
        <w:t>等方式了解</w:t>
      </w:r>
      <w:r>
        <w:rPr>
          <w:rFonts w:hint="eastAsia" w:ascii="仿宋_GB2312" w:hAnsi="仿宋_GB2312" w:eastAsia="仿宋_GB2312" w:cs="仿宋_GB2312"/>
          <w:b w:val="0"/>
          <w:bCs w:val="0"/>
          <w:color w:val="auto"/>
          <w:sz w:val="32"/>
          <w:szCs w:val="32"/>
          <w:highlight w:val="none"/>
          <w:lang w:eastAsia="zh-Hans"/>
        </w:rPr>
        <w:t>其态度</w:t>
      </w:r>
      <w:r>
        <w:rPr>
          <w:rFonts w:hint="eastAsia" w:ascii="仿宋_GB2312" w:hAnsi="仿宋_GB2312" w:eastAsia="仿宋_GB2312" w:cs="仿宋_GB2312"/>
          <w:b w:val="0"/>
          <w:bCs w:val="0"/>
          <w:color w:val="auto"/>
          <w:sz w:val="32"/>
          <w:szCs w:val="32"/>
          <w:highlight w:val="none"/>
        </w:rPr>
        <w:t>。</w:t>
      </w:r>
    </w:p>
    <w:p>
      <w:pPr>
        <w:keepNext w:val="0"/>
        <w:keepLines w:val="0"/>
        <w:pageBreakBefore w:val="0"/>
        <w:widowControl w:val="0"/>
        <w:numPr>
          <w:ilvl w:val="0"/>
          <w:numId w:val="0"/>
        </w:numPr>
        <w:tabs>
          <w:tab w:val="left" w:pos="0"/>
        </w:tabs>
        <w:kinsoku/>
        <w:wordWrap/>
        <w:overflowPunct/>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sz w:val="32"/>
          <w:szCs w:val="32"/>
          <w:highlight w:val="none"/>
          <w:lang w:eastAsia="zh-Hans"/>
        </w:rPr>
      </w:pPr>
      <w:r>
        <w:rPr>
          <w:rFonts w:hint="eastAsia" w:ascii="Times New Roman Bold" w:hAnsi="Times New Roman Bold" w:eastAsia="仿宋_GB2312" w:cs="仿宋_GB2312"/>
          <w:b w:val="0"/>
          <w:bCs w:val="0"/>
          <w:color w:val="auto"/>
          <w:kern w:val="2"/>
          <w:sz w:val="32"/>
          <w:szCs w:val="32"/>
          <w:highlight w:val="none"/>
          <w:lang w:val="en-US" w:eastAsia="zh-CN" w:bidi="ar-SA"/>
        </w:rPr>
        <w:t>（四）</w:t>
      </w:r>
      <w:r>
        <w:rPr>
          <w:rFonts w:hint="eastAsia" w:ascii="仿宋_GB2312" w:hAnsi="仿宋_GB2312" w:eastAsia="仿宋_GB2312" w:cs="仿宋_GB2312"/>
          <w:b w:val="0"/>
          <w:bCs w:val="0"/>
          <w:color w:val="auto"/>
          <w:sz w:val="32"/>
          <w:szCs w:val="32"/>
          <w:highlight w:val="none"/>
        </w:rPr>
        <w:t>问卷法。</w:t>
      </w:r>
      <w:r>
        <w:rPr>
          <w:rFonts w:hint="eastAsia" w:ascii="仿宋_GB2312" w:hAnsi="仿宋_GB2312" w:eastAsia="仿宋_GB2312" w:cs="仿宋_GB2312"/>
          <w:b w:val="0"/>
          <w:bCs w:val="0"/>
          <w:color w:val="auto"/>
          <w:sz w:val="32"/>
          <w:szCs w:val="32"/>
          <w:highlight w:val="none"/>
          <w:lang w:eastAsia="zh-Hans"/>
        </w:rPr>
        <w:t>通过问卷调查的方式了解</w:t>
      </w:r>
      <w:r>
        <w:rPr>
          <w:rFonts w:hint="eastAsia" w:ascii="仿宋_GB2312" w:hAnsi="仿宋_GB2312" w:eastAsia="仿宋_GB2312" w:cs="仿宋_GB2312"/>
          <w:b w:val="0"/>
          <w:bCs w:val="0"/>
          <w:color w:val="auto"/>
          <w:sz w:val="32"/>
          <w:szCs w:val="32"/>
          <w:highlight w:val="none"/>
        </w:rPr>
        <w:t>利益相关者</w:t>
      </w:r>
      <w:r>
        <w:rPr>
          <w:rFonts w:hint="eastAsia" w:ascii="仿宋_GB2312" w:hAnsi="仿宋_GB2312" w:eastAsia="仿宋_GB2312" w:cs="仿宋_GB2312"/>
          <w:b w:val="0"/>
          <w:bCs w:val="0"/>
          <w:color w:val="auto"/>
          <w:sz w:val="32"/>
          <w:szCs w:val="32"/>
          <w:highlight w:val="none"/>
          <w:lang w:eastAsia="zh-Hans"/>
        </w:rPr>
        <w:t>对于</w:t>
      </w:r>
      <w:r>
        <w:rPr>
          <w:rFonts w:hint="eastAsia" w:ascii="仿宋_GB2312" w:hAnsi="仿宋_GB2312" w:eastAsia="仿宋_GB2312" w:cs="仿宋_GB2312"/>
          <w:b w:val="0"/>
          <w:bCs w:val="0"/>
          <w:color w:val="auto"/>
          <w:sz w:val="32"/>
          <w:szCs w:val="32"/>
          <w:highlight w:val="none"/>
        </w:rPr>
        <w:t>调查</w:t>
      </w:r>
      <w:r>
        <w:rPr>
          <w:rFonts w:hint="eastAsia" w:ascii="仿宋_GB2312" w:hAnsi="仿宋_GB2312" w:eastAsia="仿宋_GB2312" w:cs="仿宋_GB2312"/>
          <w:b w:val="0"/>
          <w:bCs w:val="0"/>
          <w:color w:val="auto"/>
          <w:sz w:val="32"/>
          <w:szCs w:val="32"/>
          <w:highlight w:val="none"/>
          <w:lang w:eastAsia="zh-Hans"/>
        </w:rPr>
        <w:t>事项的知晓情况、影响预期</w:t>
      </w:r>
      <w:r>
        <w:rPr>
          <w:rFonts w:hint="eastAsia" w:ascii="仿宋_GB2312" w:hAnsi="仿宋_GB2312" w:eastAsia="仿宋_GB2312" w:cs="仿宋_GB2312"/>
          <w:b w:val="0"/>
          <w:bCs w:val="0"/>
          <w:color w:val="auto"/>
          <w:sz w:val="32"/>
          <w:szCs w:val="32"/>
          <w:highlight w:val="none"/>
        </w:rPr>
        <w:t>、接纳</w:t>
      </w:r>
      <w:r>
        <w:rPr>
          <w:rFonts w:hint="eastAsia" w:ascii="仿宋_GB2312" w:hAnsi="仿宋_GB2312" w:eastAsia="仿宋_GB2312" w:cs="仿宋_GB2312"/>
          <w:b w:val="0"/>
          <w:bCs w:val="0"/>
          <w:color w:val="auto"/>
          <w:sz w:val="32"/>
          <w:szCs w:val="32"/>
          <w:highlight w:val="none"/>
          <w:lang w:eastAsia="zh-Hans"/>
        </w:rPr>
        <w:t>态度、</w:t>
      </w:r>
      <w:r>
        <w:rPr>
          <w:rFonts w:hint="eastAsia" w:ascii="仿宋_GB2312" w:hAnsi="仿宋_GB2312" w:eastAsia="仿宋_GB2312" w:cs="仿宋_GB2312"/>
          <w:b w:val="0"/>
          <w:bCs w:val="0"/>
          <w:color w:val="auto"/>
          <w:sz w:val="32"/>
          <w:szCs w:val="32"/>
          <w:highlight w:val="none"/>
        </w:rPr>
        <w:t>意见建议</w:t>
      </w:r>
      <w:r>
        <w:rPr>
          <w:rFonts w:hint="eastAsia" w:ascii="仿宋_GB2312" w:hAnsi="仿宋_GB2312" w:eastAsia="仿宋_GB2312" w:cs="仿宋_GB2312"/>
          <w:b w:val="0"/>
          <w:bCs w:val="0"/>
          <w:color w:val="auto"/>
          <w:sz w:val="32"/>
          <w:szCs w:val="32"/>
          <w:highlight w:val="none"/>
          <w:lang w:eastAsia="zh-Hans"/>
        </w:rPr>
        <w:t>等。在文案资料研究、现场踏勘的基础上，设计半封闭、自填式调查问卷，邀请</w:t>
      </w:r>
      <w:r>
        <w:rPr>
          <w:rFonts w:hint="eastAsia" w:ascii="仿宋_GB2312" w:hAnsi="仿宋_GB2312" w:eastAsia="仿宋_GB2312" w:cs="仿宋_GB2312"/>
          <w:b w:val="0"/>
          <w:bCs w:val="0"/>
          <w:color w:val="auto"/>
          <w:sz w:val="32"/>
          <w:szCs w:val="32"/>
          <w:highlight w:val="none"/>
        </w:rPr>
        <w:t>利益相关者</w:t>
      </w:r>
      <w:r>
        <w:rPr>
          <w:rFonts w:hint="eastAsia" w:ascii="仿宋_GB2312" w:hAnsi="仿宋_GB2312" w:eastAsia="仿宋_GB2312" w:cs="仿宋_GB2312"/>
          <w:b w:val="0"/>
          <w:bCs w:val="0"/>
          <w:color w:val="auto"/>
          <w:sz w:val="32"/>
          <w:szCs w:val="32"/>
          <w:highlight w:val="none"/>
          <w:lang w:eastAsia="zh-Hans"/>
        </w:rPr>
        <w:t>自愿参与问卷调查，经过回收、审核、统计、分析等程序，获取被调查人整体意见和诉求。</w:t>
      </w:r>
    </w:p>
    <w:p>
      <w:pPr>
        <w:keepNext w:val="0"/>
        <w:keepLines w:val="0"/>
        <w:pageBreakBefore w:val="0"/>
        <w:widowControl w:val="0"/>
        <w:numPr>
          <w:ilvl w:val="0"/>
          <w:numId w:val="0"/>
        </w:numPr>
        <w:tabs>
          <w:tab w:val="left" w:pos="0"/>
        </w:tabs>
        <w:kinsoku/>
        <w:wordWrap/>
        <w:overflowPunct/>
        <w:autoSpaceDE/>
        <w:autoSpaceDN/>
        <w:bidi w:val="0"/>
        <w:adjustRightInd/>
        <w:snapToGrid/>
        <w:spacing w:line="560" w:lineRule="exact"/>
        <w:ind w:left="0" w:leftChars="0" w:firstLine="640" w:firstLineChars="200"/>
        <w:textAlignment w:val="auto"/>
        <w:rPr>
          <w:rFonts w:hint="eastAsia" w:ascii="Times New Roman Bold" w:hAnsi="Times New Roman Bold" w:eastAsia="仿宋_GB2312" w:cs="仿宋_GB2312"/>
          <w:b w:val="0"/>
          <w:bCs w:val="0"/>
          <w:color w:val="auto"/>
          <w:kern w:val="2"/>
          <w:sz w:val="32"/>
          <w:szCs w:val="32"/>
          <w:highlight w:val="none"/>
          <w:lang w:val="en-US" w:eastAsia="zh-CN" w:bidi="ar-SA"/>
        </w:rPr>
      </w:pPr>
      <w:r>
        <w:rPr>
          <w:rFonts w:hint="eastAsia" w:ascii="Times New Roman Bold" w:hAnsi="Times New Roman Bold" w:eastAsia="仿宋_GB2312" w:cs="仿宋_GB2312"/>
          <w:b w:val="0"/>
          <w:bCs w:val="0"/>
          <w:color w:val="auto"/>
          <w:kern w:val="2"/>
          <w:sz w:val="32"/>
          <w:szCs w:val="32"/>
          <w:highlight w:val="none"/>
          <w:lang w:val="en-US" w:eastAsia="zh-CN" w:bidi="ar-SA"/>
        </w:rPr>
        <w:t>（五）座谈法。邀请主管部门、群众代表、人大代表、政协委员、基层组织、社会组织等集中召开座谈会，集中交流讨论，探讨决策实施产生的社会影响及对决策事项的意见建议。</w:t>
      </w:r>
    </w:p>
    <w:p>
      <w:pPr>
        <w:keepNext w:val="0"/>
        <w:keepLines w:val="0"/>
        <w:pageBreakBefore w:val="0"/>
        <w:widowControl w:val="0"/>
        <w:numPr>
          <w:ilvl w:val="0"/>
          <w:numId w:val="0"/>
        </w:numPr>
        <w:tabs>
          <w:tab w:val="left" w:pos="0"/>
        </w:tabs>
        <w:kinsoku/>
        <w:wordWrap/>
        <w:overflowPunct/>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sz w:val="32"/>
          <w:szCs w:val="32"/>
          <w:highlight w:val="none"/>
        </w:rPr>
      </w:pPr>
      <w:r>
        <w:rPr>
          <w:rFonts w:hint="eastAsia" w:ascii="Times New Roman Bold" w:hAnsi="Times New Roman Bold" w:eastAsia="仿宋_GB2312" w:cs="仿宋_GB2312"/>
          <w:b w:val="0"/>
          <w:bCs w:val="0"/>
          <w:color w:val="auto"/>
          <w:kern w:val="2"/>
          <w:sz w:val="32"/>
          <w:szCs w:val="32"/>
          <w:highlight w:val="none"/>
          <w:lang w:val="en-US" w:eastAsia="zh-CN" w:bidi="ar-SA"/>
        </w:rPr>
        <w:t>（六）</w:t>
      </w:r>
      <w:r>
        <w:rPr>
          <w:rFonts w:hint="eastAsia" w:ascii="仿宋_GB2312" w:hAnsi="仿宋_GB2312" w:eastAsia="仿宋_GB2312" w:cs="仿宋_GB2312"/>
          <w:b w:val="0"/>
          <w:bCs w:val="0"/>
          <w:color w:val="auto"/>
          <w:sz w:val="32"/>
          <w:szCs w:val="32"/>
          <w:highlight w:val="none"/>
        </w:rPr>
        <w:t>舆情分析法。收集主流媒体关于</w:t>
      </w:r>
      <w:r>
        <w:rPr>
          <w:rFonts w:hint="eastAsia" w:ascii="仿宋_GB2312" w:hAnsi="仿宋_GB2312" w:eastAsia="仿宋_GB2312" w:cs="仿宋_GB2312"/>
          <w:b w:val="0"/>
          <w:bCs w:val="0"/>
          <w:color w:val="auto"/>
          <w:sz w:val="32"/>
          <w:szCs w:val="32"/>
          <w:highlight w:val="none"/>
          <w:lang w:eastAsia="zh-Hans"/>
        </w:rPr>
        <w:t>评估</w:t>
      </w:r>
      <w:r>
        <w:rPr>
          <w:rFonts w:hint="eastAsia" w:ascii="仿宋_GB2312" w:hAnsi="仿宋_GB2312" w:eastAsia="仿宋_GB2312" w:cs="仿宋_GB2312"/>
          <w:b w:val="0"/>
          <w:bCs w:val="0"/>
          <w:color w:val="auto"/>
          <w:sz w:val="32"/>
          <w:szCs w:val="32"/>
          <w:highlight w:val="none"/>
        </w:rPr>
        <w:t>事项的相关报道、公众评论信息</w:t>
      </w:r>
      <w:r>
        <w:rPr>
          <w:rFonts w:hint="eastAsia" w:ascii="仿宋_GB2312" w:hAnsi="仿宋_GB2312" w:eastAsia="仿宋_GB2312" w:cs="仿宋_GB2312"/>
          <w:b w:val="0"/>
          <w:bCs w:val="0"/>
          <w:color w:val="auto"/>
          <w:sz w:val="32"/>
          <w:szCs w:val="32"/>
          <w:highlight w:val="none"/>
          <w:lang w:eastAsia="zh-Hans"/>
        </w:rPr>
        <w:t>等</w:t>
      </w:r>
      <w:r>
        <w:rPr>
          <w:rFonts w:hint="eastAsia" w:ascii="仿宋_GB2312" w:hAnsi="仿宋_GB2312" w:eastAsia="仿宋_GB2312" w:cs="仿宋_GB2312"/>
          <w:b w:val="0"/>
          <w:bCs w:val="0"/>
          <w:color w:val="auto"/>
          <w:sz w:val="32"/>
          <w:szCs w:val="32"/>
          <w:highlight w:val="none"/>
        </w:rPr>
        <w:t>，通过综合梳理分析，了解主流媒体及社会公众对于</w:t>
      </w:r>
      <w:r>
        <w:rPr>
          <w:rFonts w:hint="eastAsia" w:ascii="仿宋_GB2312" w:hAnsi="仿宋_GB2312" w:eastAsia="仿宋_GB2312" w:cs="仿宋_GB2312"/>
          <w:b w:val="0"/>
          <w:bCs w:val="0"/>
          <w:color w:val="auto"/>
          <w:sz w:val="32"/>
          <w:szCs w:val="32"/>
          <w:highlight w:val="none"/>
          <w:lang w:eastAsia="zh-Hans"/>
        </w:rPr>
        <w:t>评估</w:t>
      </w:r>
      <w:r>
        <w:rPr>
          <w:rFonts w:hint="eastAsia" w:ascii="仿宋_GB2312" w:hAnsi="仿宋_GB2312" w:eastAsia="仿宋_GB2312" w:cs="仿宋_GB2312"/>
          <w:b w:val="0"/>
          <w:bCs w:val="0"/>
          <w:color w:val="auto"/>
          <w:sz w:val="32"/>
          <w:szCs w:val="32"/>
          <w:highlight w:val="none"/>
        </w:rPr>
        <w:t>事项的意见建议、整体态度、网络舆论导向及影响。</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2" w:firstLineChars="200"/>
        <w:jc w:val="both"/>
        <w:textAlignment w:val="auto"/>
        <w:rPr>
          <w:rFonts w:hint="eastAsia"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四、评估经费</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委托方与受托方签订技术服务合同，前期工作经费由第三方评估机构保障。</w:t>
      </w:r>
    </w:p>
    <w:p>
      <w:pPr>
        <w:keepNext/>
        <w:keepLines/>
        <w:widowControl w:val="0"/>
        <w:spacing w:before="157" w:beforeLines="50" w:after="157" w:afterLines="50" w:line="360" w:lineRule="auto"/>
        <w:jc w:val="both"/>
        <w:outlineLvl w:val="2"/>
        <w:rPr>
          <w:rFonts w:hint="eastAsia"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2.2.3 制定调查提纲</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通过对《暂行办法》进行学习研究，归纳需要评估的主要项目和重点问题，针对相关问题确定了后评估调研提纲。</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《暂行办法》实施期间上位法律法规政策依据是否修订，是否新发布相关政策法规，与上位法规政策是否抵触；</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《暂行办法》关于城市更新项目的规划、计划、实施程序是否合理、高效；</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城市更新项目实施过程中公众参与是否充分、监督的渠道是否畅通；</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目前已经实施的城市更新项目是否有必要，群众对于项目选择是否认可；</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《暂行办法》执行中是否能够维护社会各方的合法权益；</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《暂行办法》是否有利于保障淮北市城市更新项目顺利实施；</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实施更新区域人居宜业环境是否有所改善；</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社会公众对《暂行办法》整体实施效果的满意度；</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关于《暂行办法》实施的经验、教训、意见、建议，城市更新中还需要解决哪些实际问题；</w:t>
      </w:r>
    </w:p>
    <w:p>
      <w:pPr>
        <w:keepNext w:val="0"/>
        <w:keepLines w:val="0"/>
        <w:pageBreakBefore w:val="0"/>
        <w:widowControl w:val="0"/>
        <w:numPr>
          <w:ilvl w:val="0"/>
          <w:numId w:val="4"/>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关于《暂行办法》条文修订的具体建议与意见。</w:t>
      </w:r>
    </w:p>
    <w:p>
      <w:pPr>
        <w:keepNext/>
        <w:keepLines/>
        <w:widowControl w:val="0"/>
        <w:spacing w:before="157" w:beforeLines="50" w:after="157" w:afterLines="50" w:line="360" w:lineRule="auto"/>
        <w:jc w:val="both"/>
        <w:outlineLvl w:val="2"/>
        <w:rPr>
          <w:rFonts w:hint="eastAsia"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2.2.4 设计调查问卷</w:t>
      </w:r>
    </w:p>
    <w:p>
      <w:pPr>
        <w:pStyle w:val="13"/>
        <w:keepNext w:val="0"/>
        <w:keepLines w:val="0"/>
        <w:pageBreakBefore w:val="0"/>
        <w:widowControl w:val="0"/>
        <w:kinsoku/>
        <w:wordWrap/>
        <w:overflowPunct/>
        <w:topLinePunct w:val="0"/>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围绕调查提纲，针对社会公众设计调查问卷，内容包括：调查对象个人信息、评估概况、公众参与、实施程序、实施效果、提升建议、整体满意度等，并设计开放性问题，广泛征求意见建议，见图2-1。</w:t>
      </w:r>
    </w:p>
    <w:p>
      <w:pPr>
        <w:keepNext/>
        <w:keepLines/>
        <w:widowControl w:val="0"/>
        <w:spacing w:before="157" w:beforeLines="50" w:after="157" w:afterLines="50" w:line="360" w:lineRule="auto"/>
        <w:jc w:val="both"/>
        <w:outlineLvl w:val="2"/>
        <w:rPr>
          <w:rFonts w:hint="default"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 xml:space="preserve">2.2.5 </w:t>
      </w:r>
      <w:r>
        <w:rPr>
          <w:rFonts w:hint="default" w:ascii="仿宋_GB2312" w:hAnsi="仿宋_GB2312" w:eastAsia="仿宋_GB2312" w:cs="仿宋_GB2312"/>
          <w:b/>
          <w:bCs/>
          <w:color w:val="auto"/>
          <w:kern w:val="2"/>
          <w:sz w:val="32"/>
          <w:szCs w:val="32"/>
          <w:highlight w:val="none"/>
          <w:lang w:val="en-US" w:eastAsia="zh-CN" w:bidi="ar-SA"/>
        </w:rPr>
        <w:t>其他后</w:t>
      </w:r>
      <w:r>
        <w:rPr>
          <w:rFonts w:hint="eastAsia" w:ascii="仿宋_GB2312" w:hAnsi="仿宋_GB2312" w:eastAsia="仿宋_GB2312" w:cs="仿宋_GB2312"/>
          <w:b/>
          <w:bCs/>
          <w:color w:val="auto"/>
          <w:kern w:val="2"/>
          <w:sz w:val="32"/>
          <w:szCs w:val="32"/>
          <w:highlight w:val="none"/>
          <w:lang w:val="en-US" w:eastAsia="zh-CN" w:bidi="ar-SA"/>
        </w:rPr>
        <w:t>评估</w:t>
      </w:r>
      <w:r>
        <w:rPr>
          <w:rFonts w:hint="default" w:ascii="仿宋_GB2312" w:hAnsi="仿宋_GB2312" w:eastAsia="仿宋_GB2312" w:cs="仿宋_GB2312"/>
          <w:b/>
          <w:bCs/>
          <w:color w:val="auto"/>
          <w:kern w:val="2"/>
          <w:sz w:val="32"/>
          <w:szCs w:val="32"/>
          <w:highlight w:val="none"/>
          <w:lang w:val="en-US" w:eastAsia="zh-CN" w:bidi="ar-SA"/>
        </w:rPr>
        <w:t>准备工作</w:t>
      </w:r>
    </w:p>
    <w:p>
      <w:pPr>
        <w:pStyle w:val="13"/>
        <w:keepNext w:val="0"/>
        <w:keepLines w:val="0"/>
        <w:pageBreakBefore w:val="0"/>
        <w:widowControl w:val="0"/>
        <w:kinsoku/>
        <w:wordWrap/>
        <w:overflowPunct/>
        <w:topLinePunct w:val="0"/>
        <w:autoSpaceDE/>
        <w:autoSpaceDN/>
        <w:bidi w:val="0"/>
        <w:adjustRightInd/>
        <w:snapToGrid/>
        <w:spacing w:after="0" w:line="560" w:lineRule="exact"/>
        <w:ind w:left="0" w:leftChars="0"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制定调查计划，</w:t>
      </w:r>
      <w:r>
        <w:rPr>
          <w:rFonts w:hint="eastAsia" w:ascii="仿宋_GB2312" w:hAnsi="仿宋_GB2312" w:eastAsia="仿宋_GB2312" w:cs="仿宋_GB2312"/>
          <w:color w:val="auto"/>
          <w:kern w:val="0"/>
          <w:sz w:val="32"/>
          <w:szCs w:val="32"/>
          <w:highlight w:val="none"/>
          <w:lang w:val="en-US" w:eastAsia="zh-Hans" w:bidi="ar-SA"/>
        </w:rPr>
        <w:t>确定</w:t>
      </w:r>
      <w:r>
        <w:rPr>
          <w:rFonts w:hint="eastAsia" w:ascii="仿宋_GB2312" w:hAnsi="仿宋_GB2312" w:eastAsia="仿宋_GB2312" w:cs="仿宋_GB2312"/>
          <w:color w:val="auto"/>
          <w:kern w:val="0"/>
          <w:sz w:val="32"/>
          <w:szCs w:val="32"/>
          <w:highlight w:val="none"/>
          <w:lang w:val="en-US" w:eastAsia="zh-CN" w:bidi="ar-SA"/>
        </w:rPr>
        <w:t>调查</w:t>
      </w:r>
      <w:r>
        <w:rPr>
          <w:rFonts w:hint="eastAsia" w:ascii="仿宋_GB2312" w:hAnsi="仿宋_GB2312" w:eastAsia="仿宋_GB2312" w:cs="仿宋_GB2312"/>
          <w:color w:val="auto"/>
          <w:kern w:val="0"/>
          <w:sz w:val="32"/>
          <w:szCs w:val="32"/>
          <w:highlight w:val="none"/>
          <w:lang w:val="en-US" w:eastAsia="zh-Hans" w:bidi="ar-SA"/>
        </w:rPr>
        <w:t>范围、</w:t>
      </w:r>
      <w:r>
        <w:rPr>
          <w:rFonts w:hint="eastAsia" w:ascii="仿宋_GB2312" w:hAnsi="仿宋_GB2312" w:eastAsia="仿宋_GB2312" w:cs="仿宋_GB2312"/>
          <w:color w:val="auto"/>
          <w:kern w:val="0"/>
          <w:sz w:val="32"/>
          <w:szCs w:val="32"/>
          <w:highlight w:val="none"/>
          <w:lang w:val="en-US" w:eastAsia="zh-CN" w:bidi="ar-SA"/>
        </w:rPr>
        <w:t>对象、方式、时机</w:t>
      </w:r>
      <w:r>
        <w:rPr>
          <w:rFonts w:hint="eastAsia" w:ascii="仿宋_GB2312" w:hAnsi="仿宋_GB2312" w:eastAsia="仿宋_GB2312" w:cs="仿宋_GB2312"/>
          <w:color w:val="auto"/>
          <w:kern w:val="0"/>
          <w:sz w:val="32"/>
          <w:szCs w:val="32"/>
          <w:highlight w:val="none"/>
          <w:lang w:val="en-US" w:eastAsia="zh-Hans" w:bidi="ar-SA"/>
        </w:rPr>
        <w:t>等，</w:t>
      </w:r>
      <w:r>
        <w:rPr>
          <w:rFonts w:hint="eastAsia" w:ascii="仿宋_GB2312" w:hAnsi="仿宋_GB2312" w:eastAsia="仿宋_GB2312" w:cs="仿宋_GB2312"/>
          <w:color w:val="auto"/>
          <w:kern w:val="0"/>
          <w:sz w:val="32"/>
          <w:szCs w:val="32"/>
          <w:highlight w:val="none"/>
          <w:lang w:val="en-US" w:eastAsia="zh-CN" w:bidi="ar-SA"/>
        </w:rPr>
        <w:t>准备后评估所需的相关材料和设备设施，全员培训部署调查方案，强调调查要点等。</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420" w:firstLineChars="200"/>
        <w:jc w:val="both"/>
        <w:textAlignment w:val="auto"/>
        <w:rPr>
          <w:rFonts w:hint="default"/>
          <w:color w:val="auto"/>
          <w:lang w:val="en-US" w:eastAsia="zh-CN"/>
        </w:rPr>
      </w:pPr>
    </w:p>
    <w:p>
      <w:pPr>
        <w:rPr>
          <w:rFonts w:hint="eastAsia"/>
          <w:color w:val="auto"/>
          <w:lang w:val="en-US" w:eastAsia="zh-CN"/>
        </w:rPr>
      </w:pPr>
      <w:r>
        <w:rPr>
          <w:rFonts w:hint="eastAsia"/>
          <w:color w:val="auto"/>
          <w:lang w:val="en-US" w:eastAsia="zh-CN"/>
        </w:rPr>
        <w:drawing>
          <wp:inline distT="0" distB="0" distL="114300" distR="114300">
            <wp:extent cx="5526405" cy="8343900"/>
            <wp:effectExtent l="0" t="0" r="17145" b="0"/>
            <wp:docPr id="2" name="图片 2" descr="WP3-4-调查问卷（淮北市城市更新后评估）4.19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WP3-4-调查问卷（淮北市城市更新后评估）4.19_00"/>
                    <pic:cNvPicPr>
                      <a:picLocks noChangeAspect="true"/>
                    </pic:cNvPicPr>
                  </pic:nvPicPr>
                  <pic:blipFill>
                    <a:blip r:embed="rId20"/>
                    <a:srcRect l="6326"/>
                    <a:stretch>
                      <a:fillRect/>
                    </a:stretch>
                  </pic:blipFill>
                  <pic:spPr>
                    <a:xfrm>
                      <a:off x="0" y="0"/>
                      <a:ext cx="5526405" cy="8343900"/>
                    </a:xfrm>
                    <a:prstGeom prst="rect">
                      <a:avLst/>
                    </a:prstGeom>
                  </pic:spPr>
                </pic:pic>
              </a:graphicData>
            </a:graphic>
          </wp:inline>
        </w:drawing>
      </w:r>
    </w:p>
    <w:p>
      <w:pPr>
        <w:widowControl w:val="0"/>
        <w:jc w:val="center"/>
        <w:rPr>
          <w:rFonts w:hint="default" w:ascii="仿宋_GB2312" w:hAnsi="仿宋_GB2312" w:eastAsia="仿宋_GB2312" w:cs="仿宋_GB2312"/>
          <w:b/>
          <w:bCs/>
          <w:color w:val="auto"/>
          <w:kern w:val="2"/>
          <w:sz w:val="21"/>
          <w:szCs w:val="21"/>
          <w:highlight w:val="none"/>
          <w:lang w:val="en-US" w:eastAsia="zh-CN" w:bidi="ar-SA"/>
        </w:rPr>
      </w:pPr>
      <w:r>
        <w:rPr>
          <w:rFonts w:hint="eastAsia" w:ascii="仿宋_GB2312" w:hAnsi="仿宋_GB2312" w:eastAsia="仿宋_GB2312" w:cs="仿宋_GB2312"/>
          <w:b/>
          <w:bCs/>
          <w:color w:val="auto"/>
          <w:kern w:val="2"/>
          <w:sz w:val="21"/>
          <w:szCs w:val="21"/>
          <w:highlight w:val="none"/>
          <w:lang w:val="en-US" w:eastAsia="zh-CN" w:bidi="ar-SA"/>
        </w:rPr>
        <w:t>图2-1 决策实施后评估调查问卷</w:t>
      </w:r>
    </w:p>
    <w:p>
      <w:pPr>
        <w:rPr>
          <w:rFonts w:hint="eastAsia" w:ascii="仿宋_GB2312" w:hAnsi="仿宋_GB2312" w:eastAsia="仿宋_GB2312" w:cs="仿宋_GB2312"/>
          <w:color w:val="auto"/>
          <w:sz w:val="32"/>
          <w:szCs w:val="32"/>
          <w:highlight w:val="none"/>
        </w:rPr>
        <w:sectPr>
          <w:pgSz w:w="11906" w:h="16838"/>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keepNext/>
        <w:keepLines/>
        <w:widowControl w:val="0"/>
        <w:bidi w:val="0"/>
        <w:snapToGrid/>
        <w:spacing w:before="100" w:beforeLines="100" w:after="100" w:afterLines="100" w:line="360" w:lineRule="auto"/>
        <w:jc w:val="center"/>
        <w:outlineLvl w:val="1"/>
        <w:rPr>
          <w:rFonts w:hint="default" w:ascii="Times New Roman" w:hAnsi="Times New Roman" w:eastAsia="FangSong_GB2312" w:cs="Times New Roman"/>
          <w:b/>
          <w:bCs/>
          <w:color w:val="auto"/>
          <w:kern w:val="2"/>
          <w:sz w:val="36"/>
          <w:szCs w:val="32"/>
          <w:highlight w:val="none"/>
          <w:lang w:val="en-US" w:eastAsia="zh-CN" w:bidi="ar-SA"/>
        </w:rPr>
      </w:pPr>
      <w:bookmarkStart w:id="63" w:name="_Toc15992"/>
      <w:r>
        <w:rPr>
          <w:rFonts w:hint="eastAsia" w:ascii="Times New Roman" w:hAnsi="Times New Roman" w:eastAsia="FangSong_GB2312" w:cs="Times New Roman"/>
          <w:b/>
          <w:bCs/>
          <w:color w:val="auto"/>
          <w:kern w:val="2"/>
          <w:sz w:val="36"/>
          <w:szCs w:val="32"/>
          <w:highlight w:val="none"/>
          <w:lang w:val="en-US" w:eastAsia="zh-CN" w:bidi="ar-SA"/>
        </w:rPr>
        <w:t>2.</w:t>
      </w:r>
      <w:r>
        <w:rPr>
          <w:rFonts w:hint="eastAsia" w:eastAsia="FangSong_GB2312" w:cs="Times New Roman"/>
          <w:b/>
          <w:bCs/>
          <w:color w:val="auto"/>
          <w:kern w:val="2"/>
          <w:sz w:val="36"/>
          <w:szCs w:val="32"/>
          <w:highlight w:val="none"/>
          <w:lang w:val="en-US" w:eastAsia="zh-CN" w:bidi="ar-SA"/>
        </w:rPr>
        <w:t>3</w:t>
      </w:r>
      <w:r>
        <w:rPr>
          <w:rFonts w:hint="eastAsia" w:ascii="Times New Roman" w:hAnsi="Times New Roman" w:eastAsia="FangSong_GB2312" w:cs="Times New Roman"/>
          <w:b/>
          <w:bCs/>
          <w:color w:val="auto"/>
          <w:kern w:val="2"/>
          <w:sz w:val="36"/>
          <w:szCs w:val="32"/>
          <w:highlight w:val="none"/>
          <w:lang w:val="en-US" w:eastAsia="zh-CN" w:bidi="ar-SA"/>
        </w:rPr>
        <w:t xml:space="preserve"> 后评估</w:t>
      </w:r>
      <w:r>
        <w:rPr>
          <w:rFonts w:hint="default" w:ascii="Times New Roman" w:hAnsi="Times New Roman" w:eastAsia="FangSong_GB2312" w:cs="Times New Roman"/>
          <w:b/>
          <w:bCs/>
          <w:color w:val="auto"/>
          <w:kern w:val="2"/>
          <w:sz w:val="36"/>
          <w:szCs w:val="32"/>
          <w:highlight w:val="none"/>
          <w:lang w:val="en-US" w:eastAsia="zh-CN" w:bidi="ar-SA"/>
        </w:rPr>
        <w:t>实施阶段</w:t>
      </w:r>
      <w:bookmarkEnd w:id="63"/>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eastAsia" w:ascii="仿宋_GB2312" w:hAnsi="仿宋_GB2312" w:eastAsia="仿宋_GB2312" w:cs="仿宋_GB2312"/>
          <w:b w:val="0"/>
          <w:bCs w:val="0"/>
          <w:color w:val="auto"/>
          <w:kern w:val="0"/>
          <w:sz w:val="32"/>
          <w:szCs w:val="32"/>
          <w:highlight w:val="none"/>
          <w:lang w:val="en-US" w:eastAsia="zh-CN" w:bidi="ar-SA"/>
        </w:rPr>
        <w:t>后评估</w:t>
      </w:r>
      <w:r>
        <w:rPr>
          <w:rFonts w:hint="default" w:ascii="仿宋_GB2312" w:hAnsi="仿宋_GB2312" w:eastAsia="仿宋_GB2312" w:cs="仿宋_GB2312"/>
          <w:b w:val="0"/>
          <w:bCs w:val="0"/>
          <w:color w:val="auto"/>
          <w:kern w:val="0"/>
          <w:sz w:val="32"/>
          <w:szCs w:val="32"/>
          <w:highlight w:val="none"/>
          <w:lang w:val="en-US" w:eastAsia="zh-CN" w:bidi="ar-SA"/>
        </w:rPr>
        <w:t>实施阶段主要开展以下工作</w:t>
      </w:r>
      <w:r>
        <w:rPr>
          <w:rFonts w:hint="eastAsia" w:ascii="仿宋_GB2312" w:hAnsi="仿宋_GB2312" w:eastAsia="仿宋_GB2312" w:cs="仿宋_GB2312"/>
          <w:b w:val="0"/>
          <w:bCs w:val="0"/>
          <w:color w:val="auto"/>
          <w:kern w:val="0"/>
          <w:sz w:val="32"/>
          <w:szCs w:val="32"/>
          <w:highlight w:val="none"/>
          <w:lang w:val="en-US" w:eastAsia="zh-CN" w:bidi="ar-SA"/>
        </w:rPr>
        <w:t>：</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一</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通过各种形式收集</w:t>
      </w:r>
      <w:r>
        <w:rPr>
          <w:rFonts w:hint="eastAsia" w:ascii="仿宋_GB2312" w:hAnsi="仿宋_GB2312" w:eastAsia="仿宋_GB2312" w:cs="仿宋_GB2312"/>
          <w:b w:val="0"/>
          <w:bCs w:val="0"/>
          <w:color w:val="auto"/>
          <w:kern w:val="0"/>
          <w:sz w:val="32"/>
          <w:szCs w:val="32"/>
          <w:highlight w:val="none"/>
          <w:lang w:val="en-US" w:eastAsia="zh-CN" w:bidi="ar-SA"/>
        </w:rPr>
        <w:t>《暂行办法》</w:t>
      </w:r>
      <w:r>
        <w:rPr>
          <w:rFonts w:hint="default" w:ascii="仿宋_GB2312" w:hAnsi="仿宋_GB2312" w:eastAsia="仿宋_GB2312" w:cs="仿宋_GB2312"/>
          <w:b w:val="0"/>
          <w:bCs w:val="0"/>
          <w:color w:val="auto"/>
          <w:kern w:val="0"/>
          <w:sz w:val="32"/>
          <w:szCs w:val="32"/>
          <w:highlight w:val="none"/>
          <w:lang w:val="en-US" w:eastAsia="zh-CN" w:bidi="ar-SA"/>
        </w:rPr>
        <w:t>实施前后的</w:t>
      </w:r>
      <w:r>
        <w:rPr>
          <w:rFonts w:hint="eastAsia" w:ascii="仿宋_GB2312" w:hAnsi="仿宋_GB2312" w:eastAsia="仿宋_GB2312" w:cs="仿宋_GB2312"/>
          <w:b w:val="0"/>
          <w:bCs w:val="0"/>
          <w:color w:val="auto"/>
          <w:kern w:val="0"/>
          <w:sz w:val="32"/>
          <w:szCs w:val="32"/>
          <w:highlight w:val="none"/>
          <w:lang w:val="en-US" w:eastAsia="zh-CN" w:bidi="ar-SA"/>
        </w:rPr>
        <w:t>相关</w:t>
      </w:r>
      <w:r>
        <w:rPr>
          <w:rFonts w:hint="default" w:ascii="仿宋_GB2312" w:hAnsi="仿宋_GB2312" w:eastAsia="仿宋_GB2312" w:cs="仿宋_GB2312"/>
          <w:b w:val="0"/>
          <w:bCs w:val="0"/>
          <w:color w:val="auto"/>
          <w:kern w:val="0"/>
          <w:sz w:val="32"/>
          <w:szCs w:val="32"/>
          <w:highlight w:val="none"/>
          <w:lang w:val="en-US" w:eastAsia="zh-CN" w:bidi="ar-SA"/>
        </w:rPr>
        <w:t>信息，归纳基本情况；</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二</w:t>
      </w:r>
      <w:r>
        <w:rPr>
          <w:rFonts w:hint="eastAsia" w:ascii="仿宋_GB2312" w:hAnsi="仿宋_GB2312" w:eastAsia="仿宋_GB2312" w:cs="仿宋_GB2312"/>
          <w:b w:val="0"/>
          <w:bCs w:val="0"/>
          <w:color w:val="auto"/>
          <w:kern w:val="0"/>
          <w:sz w:val="32"/>
          <w:szCs w:val="32"/>
          <w:highlight w:val="none"/>
          <w:lang w:val="en-US" w:eastAsia="zh-CN" w:bidi="ar-SA"/>
        </w:rPr>
        <w:t>、广泛开展走访调查、</w:t>
      </w:r>
      <w:r>
        <w:rPr>
          <w:rFonts w:hint="default" w:ascii="仿宋_GB2312" w:hAnsi="仿宋_GB2312" w:eastAsia="仿宋_GB2312" w:cs="仿宋_GB2312"/>
          <w:b w:val="0"/>
          <w:bCs w:val="0"/>
          <w:color w:val="auto"/>
          <w:kern w:val="0"/>
          <w:sz w:val="32"/>
          <w:szCs w:val="32"/>
          <w:highlight w:val="none"/>
          <w:lang w:val="en-US" w:eastAsia="zh-CN" w:bidi="ar-SA"/>
        </w:rPr>
        <w:t>问卷调查、实地调研、召开座谈会等</w:t>
      </w:r>
      <w:r>
        <w:rPr>
          <w:rFonts w:hint="eastAsia" w:ascii="仿宋_GB2312" w:hAnsi="仿宋_GB2312" w:eastAsia="仿宋_GB2312" w:cs="仿宋_GB2312"/>
          <w:b w:val="0"/>
          <w:bCs w:val="0"/>
          <w:color w:val="auto"/>
          <w:kern w:val="0"/>
          <w:sz w:val="32"/>
          <w:szCs w:val="32"/>
          <w:highlight w:val="none"/>
          <w:lang w:val="en-US" w:eastAsia="zh-CN" w:bidi="ar-SA"/>
        </w:rPr>
        <w:t>工作充分</w:t>
      </w:r>
      <w:r>
        <w:rPr>
          <w:rFonts w:hint="default" w:ascii="仿宋_GB2312" w:hAnsi="仿宋_GB2312" w:eastAsia="仿宋_GB2312" w:cs="仿宋_GB2312"/>
          <w:b w:val="0"/>
          <w:bCs w:val="0"/>
          <w:color w:val="auto"/>
          <w:kern w:val="0"/>
          <w:sz w:val="32"/>
          <w:szCs w:val="32"/>
          <w:highlight w:val="none"/>
          <w:lang w:val="en-US" w:eastAsia="zh-CN" w:bidi="ar-SA"/>
        </w:rPr>
        <w:t>听取意见；</w:t>
      </w:r>
      <w:r>
        <w:rPr>
          <w:rFonts w:hint="eastAsia" w:ascii="仿宋_GB2312" w:hAnsi="仿宋_GB2312" w:eastAsia="仿宋_GB2312" w:cs="仿宋_GB2312"/>
          <w:b w:val="0"/>
          <w:bCs w:val="0"/>
          <w:color w:val="auto"/>
          <w:kern w:val="0"/>
          <w:sz w:val="32"/>
          <w:szCs w:val="32"/>
          <w:highlight w:val="none"/>
          <w:lang w:val="en-US" w:eastAsia="zh-CN" w:bidi="ar-SA"/>
        </w:rPr>
        <w:t>（详见第三章 调研成果）</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三</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对收集的信息资料和征集的意见进行分析，得出初步结论。</w:t>
      </w:r>
    </w:p>
    <w:p>
      <w:pPr>
        <w:keepNext/>
        <w:keepLines/>
        <w:widowControl w:val="0"/>
        <w:bidi w:val="0"/>
        <w:snapToGrid/>
        <w:spacing w:before="100" w:beforeLines="100" w:after="100" w:afterLines="100" w:line="360" w:lineRule="auto"/>
        <w:jc w:val="center"/>
        <w:outlineLvl w:val="1"/>
        <w:rPr>
          <w:rFonts w:hint="default" w:ascii="Times New Roman" w:hAnsi="Times New Roman" w:eastAsia="FangSong_GB2312" w:cs="Times New Roman"/>
          <w:b/>
          <w:bCs/>
          <w:color w:val="auto"/>
          <w:kern w:val="2"/>
          <w:sz w:val="36"/>
          <w:szCs w:val="32"/>
          <w:highlight w:val="none"/>
          <w:lang w:val="en-US" w:eastAsia="zh-CN" w:bidi="ar-SA"/>
        </w:rPr>
      </w:pPr>
      <w:bookmarkStart w:id="64" w:name="_Toc11854"/>
      <w:r>
        <w:rPr>
          <w:rFonts w:hint="eastAsia" w:ascii="Times New Roman" w:hAnsi="Times New Roman" w:eastAsia="FangSong_GB2312" w:cs="Times New Roman"/>
          <w:b/>
          <w:bCs/>
          <w:color w:val="auto"/>
          <w:kern w:val="2"/>
          <w:sz w:val="36"/>
          <w:szCs w:val="32"/>
          <w:highlight w:val="none"/>
          <w:lang w:val="en-US" w:eastAsia="zh-CN" w:bidi="ar-SA"/>
        </w:rPr>
        <w:t>2.</w:t>
      </w:r>
      <w:r>
        <w:rPr>
          <w:rFonts w:hint="eastAsia" w:eastAsia="FangSong_GB2312" w:cs="Times New Roman"/>
          <w:b/>
          <w:bCs/>
          <w:color w:val="auto"/>
          <w:kern w:val="2"/>
          <w:sz w:val="36"/>
          <w:szCs w:val="32"/>
          <w:highlight w:val="none"/>
          <w:lang w:val="en-US" w:eastAsia="zh-CN" w:bidi="ar-SA"/>
        </w:rPr>
        <w:t>4</w:t>
      </w:r>
      <w:r>
        <w:rPr>
          <w:rFonts w:hint="eastAsia" w:ascii="Times New Roman" w:hAnsi="Times New Roman" w:eastAsia="FangSong_GB2312" w:cs="Times New Roman"/>
          <w:b/>
          <w:bCs/>
          <w:color w:val="auto"/>
          <w:kern w:val="2"/>
          <w:sz w:val="36"/>
          <w:szCs w:val="32"/>
          <w:highlight w:val="none"/>
          <w:lang w:val="en-US" w:eastAsia="zh-CN" w:bidi="ar-SA"/>
        </w:rPr>
        <w:t xml:space="preserve"> 后评估形成</w:t>
      </w:r>
      <w:r>
        <w:rPr>
          <w:rFonts w:hint="default" w:ascii="Times New Roman" w:hAnsi="Times New Roman" w:eastAsia="FangSong_GB2312" w:cs="Times New Roman"/>
          <w:b/>
          <w:bCs/>
          <w:color w:val="auto"/>
          <w:kern w:val="2"/>
          <w:sz w:val="36"/>
          <w:szCs w:val="32"/>
          <w:highlight w:val="none"/>
          <w:lang w:val="en-US" w:eastAsia="zh-CN" w:bidi="ar-SA"/>
        </w:rPr>
        <w:t>结论阶段</w:t>
      </w:r>
      <w:bookmarkEnd w:id="64"/>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结论形成阶段主要开展以下工作：</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default"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一</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起草跟踪反馈与后评估报告；</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二</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组织有关专家对跟踪反馈与后评估报告进行论证</w:t>
      </w:r>
      <w:r>
        <w:rPr>
          <w:rFonts w:hint="eastAsia" w:ascii="仿宋_GB2312" w:hAnsi="仿宋_GB2312" w:eastAsia="仿宋_GB2312" w:cs="仿宋_GB2312"/>
          <w:b w:val="0"/>
          <w:bCs w:val="0"/>
          <w:color w:val="auto"/>
          <w:kern w:val="0"/>
          <w:sz w:val="32"/>
          <w:szCs w:val="32"/>
          <w:highlight w:val="none"/>
          <w:lang w:val="en-US" w:eastAsia="zh-CN" w:bidi="ar-SA"/>
        </w:rPr>
        <w:t>；</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b w:val="0"/>
          <w:bCs w:val="0"/>
          <w:color w:val="auto"/>
          <w:kern w:val="0"/>
          <w:sz w:val="32"/>
          <w:szCs w:val="32"/>
          <w:highlight w:val="none"/>
          <w:lang w:val="en-US" w:eastAsia="zh-CN" w:bidi="ar-SA"/>
        </w:rPr>
      </w:pPr>
      <w:r>
        <w:rPr>
          <w:rFonts w:hint="default" w:ascii="仿宋_GB2312" w:hAnsi="仿宋_GB2312" w:eastAsia="仿宋_GB2312" w:cs="仿宋_GB2312"/>
          <w:b w:val="0"/>
          <w:bCs w:val="0"/>
          <w:color w:val="auto"/>
          <w:kern w:val="0"/>
          <w:sz w:val="32"/>
          <w:szCs w:val="32"/>
          <w:highlight w:val="none"/>
          <w:lang w:val="en-US" w:eastAsia="zh-CN" w:bidi="ar-SA"/>
        </w:rPr>
        <w:t>三</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b w:val="0"/>
          <w:bCs w:val="0"/>
          <w:color w:val="auto"/>
          <w:kern w:val="0"/>
          <w:sz w:val="32"/>
          <w:szCs w:val="32"/>
          <w:highlight w:val="none"/>
          <w:lang w:val="en-US" w:eastAsia="zh-CN" w:bidi="ar-SA"/>
        </w:rPr>
        <w:t>正式形成跟踪反馈与后评估报告</w:t>
      </w:r>
      <w:r>
        <w:rPr>
          <w:rFonts w:hint="eastAsia" w:ascii="仿宋_GB2312" w:hAnsi="仿宋_GB2312" w:eastAsia="仿宋_GB2312" w:cs="仿宋_GB2312"/>
          <w:b w:val="0"/>
          <w:bCs w:val="0"/>
          <w:color w:val="auto"/>
          <w:kern w:val="0"/>
          <w:sz w:val="32"/>
          <w:szCs w:val="32"/>
          <w:highlight w:val="none"/>
          <w:lang w:val="en-US" w:eastAsia="zh-CN" w:bidi="ar-SA"/>
        </w:rPr>
        <w:t>。</w:t>
      </w:r>
    </w:p>
    <w:p>
      <w:pPr>
        <w:pStyle w:val="8"/>
        <w:rPr>
          <w:rFonts w:hint="eastAsia"/>
          <w:color w:val="auto"/>
          <w:lang w:val="en-US" w:eastAsia="zh-CN"/>
        </w:rPr>
        <w:sectPr>
          <w:headerReference r:id="rId10" w:type="default"/>
          <w:footerReference r:id="rId11" w:type="default"/>
          <w:pgSz w:w="11906" w:h="16838"/>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keepNext/>
        <w:widowControl w:val="0"/>
        <w:bidi w:val="0"/>
        <w:snapToGrid/>
        <w:spacing w:before="100" w:beforeLines="100" w:after="100" w:afterLines="100" w:line="360" w:lineRule="auto"/>
        <w:jc w:val="center"/>
        <w:outlineLvl w:val="0"/>
        <w:rPr>
          <w:rFonts w:hint="eastAsia" w:ascii="Times New Roman Bold" w:hAnsi="Times New Roman Bold" w:eastAsia="FangSong_GB2312" w:cs="Times New Roman"/>
          <w:b/>
          <w:color w:val="auto"/>
          <w:kern w:val="2"/>
          <w:sz w:val="44"/>
          <w:szCs w:val="28"/>
          <w:highlight w:val="none"/>
          <w:lang w:val="en-US" w:eastAsia="zh-CN" w:bidi="ar-SA"/>
        </w:rPr>
      </w:pPr>
      <w:bookmarkStart w:id="65" w:name="_Toc14590"/>
      <w:r>
        <w:rPr>
          <w:rFonts w:hint="eastAsia" w:ascii="Times New Roman Bold" w:hAnsi="Times New Roman Bold" w:eastAsia="FangSong_GB2312" w:cs="Times New Roman"/>
          <w:b/>
          <w:color w:val="auto"/>
          <w:kern w:val="2"/>
          <w:sz w:val="44"/>
          <w:szCs w:val="28"/>
          <w:highlight w:val="none"/>
          <w:lang w:val="en-US" w:eastAsia="zh-CN" w:bidi="ar-SA"/>
        </w:rPr>
        <w:t>3 调研成果</w:t>
      </w:r>
      <w:bookmarkEnd w:id="65"/>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yellow"/>
          <w:lang w:val="en-US" w:eastAsia="zh-CN"/>
        </w:rPr>
      </w:pPr>
      <w:r>
        <w:rPr>
          <w:rFonts w:hint="eastAsia" w:ascii="仿宋_GB2312" w:hAnsi="仿宋_GB2312" w:eastAsia="仿宋_GB2312" w:cs="仿宋_GB2312"/>
          <w:color w:val="auto"/>
          <w:sz w:val="32"/>
          <w:szCs w:val="32"/>
          <w:highlight w:val="none"/>
          <w:lang w:val="en-US" w:eastAsia="zh-CN"/>
        </w:rPr>
        <w:t>2025年4月下旬，评估单位通过实地调研、问卷调查、座谈会、舆情分析等形式广泛开展了决策实施效果调查工作，充分听取了利益相关者意见和诉求。调查期间走访政府部门、基层组织、企事业相关单位共计23家，完成有效公众调查问卷282份，其中现场问卷174份，网络问卷108份。</w:t>
      </w:r>
    </w:p>
    <w:p>
      <w:pPr>
        <w:keepNext/>
        <w:keepLines/>
        <w:widowControl w:val="0"/>
        <w:bidi w:val="0"/>
        <w:snapToGrid/>
        <w:spacing w:before="100" w:beforeLines="100" w:after="100" w:afterLines="100" w:line="360" w:lineRule="auto"/>
        <w:jc w:val="center"/>
        <w:outlineLvl w:val="1"/>
        <w:rPr>
          <w:rFonts w:hint="default" w:ascii="Times New Roman" w:hAnsi="Times New Roman" w:eastAsia="FangSong_GB2312" w:cs="Times New Roman"/>
          <w:b/>
          <w:bCs/>
          <w:color w:val="auto"/>
          <w:kern w:val="2"/>
          <w:sz w:val="36"/>
          <w:szCs w:val="32"/>
          <w:highlight w:val="none"/>
          <w:lang w:val="en-US" w:eastAsia="zh-CN" w:bidi="ar-SA"/>
        </w:rPr>
      </w:pPr>
      <w:bookmarkStart w:id="66" w:name="_Toc27783"/>
      <w:r>
        <w:rPr>
          <w:rFonts w:hint="eastAsia" w:ascii="Times New Roman" w:hAnsi="Times New Roman" w:eastAsia="FangSong_GB2312" w:cs="Times New Roman"/>
          <w:b/>
          <w:bCs/>
          <w:color w:val="auto"/>
          <w:kern w:val="2"/>
          <w:sz w:val="36"/>
          <w:szCs w:val="32"/>
          <w:highlight w:val="none"/>
          <w:lang w:val="en-US" w:eastAsia="zh-CN" w:bidi="ar-SA"/>
        </w:rPr>
        <w:t>3.</w:t>
      </w:r>
      <w:r>
        <w:rPr>
          <w:rFonts w:hint="eastAsia" w:eastAsia="FangSong_GB2312" w:cs="Times New Roman"/>
          <w:b/>
          <w:bCs/>
          <w:color w:val="auto"/>
          <w:kern w:val="2"/>
          <w:sz w:val="36"/>
          <w:szCs w:val="32"/>
          <w:highlight w:val="none"/>
          <w:lang w:val="en-US" w:eastAsia="zh-CN" w:bidi="ar-SA"/>
        </w:rPr>
        <w:t>1</w:t>
      </w:r>
      <w:r>
        <w:rPr>
          <w:rFonts w:hint="eastAsia" w:ascii="Times New Roman" w:hAnsi="Times New Roman" w:eastAsia="FangSong_GB2312" w:cs="Times New Roman"/>
          <w:b/>
          <w:bCs/>
          <w:color w:val="auto"/>
          <w:kern w:val="2"/>
          <w:sz w:val="36"/>
          <w:szCs w:val="32"/>
          <w:highlight w:val="none"/>
          <w:lang w:val="en-US" w:eastAsia="zh-CN" w:bidi="ar-SA"/>
        </w:rPr>
        <w:t xml:space="preserve"> </w:t>
      </w:r>
      <w:r>
        <w:rPr>
          <w:rFonts w:hint="eastAsia" w:eastAsia="FangSong_GB2312" w:cs="Times New Roman"/>
          <w:b/>
          <w:bCs/>
          <w:color w:val="auto"/>
          <w:kern w:val="2"/>
          <w:sz w:val="36"/>
          <w:szCs w:val="32"/>
          <w:highlight w:val="none"/>
          <w:lang w:val="en-US" w:eastAsia="zh-CN" w:bidi="ar-SA"/>
        </w:rPr>
        <w:t>实地调研</w:t>
      </w:r>
      <w:bookmarkEnd w:id="66"/>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为了充分做好基础调研工作，评估小组按照《暂行办法》规定的职责分工和涉及利益相关方，走访了《暂行办法》适用范围内区级住建部门，城市更新项目工作开展较多的街道、社区等。</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本次调查共计走访相关单位23家，其中：区政府住建部门3家、街道办7家、社区居委会13家。走访单位见表3-1，走访现场见图3-1，附件5，访谈记录见附件6。</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受访单位均对《暂行办法》实施对城市更新带来的推动作用和意义表示了肯定，并对实际工作开展过程中遇到的问题提出宝贵意见和建议。相山区相南街道办建议老旧小区改造能把屋面维修纳入进去，提前做好项目资金准备；部分社区建议多解决居民急愁的问题，加强改造后的维护；部分社区指出了属地政府参与度低、改造项目空间功能统筹不足，具体项目如火车站周边道路改造提升效果不明显等问题。杜集区住建局建议拓宽融资渠道、加强多方协调、加强后期管养；高岳街道办建议加强地下管网统筹建设，做到建管并重。烈山区杨庄街道办建议在《暂行办法》中明确国土规划依据，实施中统筹考虑土地性质及出让方式。</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drawing>
          <wp:inline distT="0" distB="0" distL="114300" distR="114300">
            <wp:extent cx="4258310" cy="2270125"/>
            <wp:effectExtent l="0" t="0" r="8890" b="15875"/>
            <wp:docPr id="144" name="图片 144" descr="17b8b8f99a1143870e857860c830ed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4" name="图片 144" descr="17b8b8f99a1143870e857860c830ed6"/>
                    <pic:cNvPicPr>
                      <a:picLocks noChangeAspect="true"/>
                    </pic:cNvPicPr>
                  </pic:nvPicPr>
                  <pic:blipFill>
                    <a:blip r:embed="rId21"/>
                    <a:stretch>
                      <a:fillRect/>
                    </a:stretch>
                  </pic:blipFill>
                  <pic:spPr>
                    <a:xfrm>
                      <a:off x="0" y="0"/>
                      <a:ext cx="4258310" cy="22701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1" w:firstLineChars="200"/>
        <w:jc w:val="center"/>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b/>
          <w:color w:val="auto"/>
          <w:kern w:val="2"/>
          <w:sz w:val="21"/>
          <w:szCs w:val="24"/>
          <w:highlight w:val="none"/>
          <w:lang w:val="en-US" w:eastAsia="zh-CN" w:bidi="ar-SA"/>
        </w:rPr>
        <w:t>图3-1 走访调查（示例）</w:t>
      </w:r>
    </w:p>
    <w:p>
      <w:pPr>
        <w:keepNext w:val="0"/>
        <w:keepLines w:val="0"/>
        <w:pageBreakBefore w:val="0"/>
        <w:widowControl w:val="0"/>
        <w:kinsoku/>
        <w:wordWrap/>
        <w:overflowPunct/>
        <w:topLinePunct w:val="0"/>
        <w:autoSpaceDE/>
        <w:autoSpaceDN/>
        <w:bidi w:val="0"/>
        <w:adjustRightInd/>
        <w:snapToGrid/>
        <w:textAlignment w:val="auto"/>
        <w:rPr>
          <w:rFonts w:hint="eastAsia" w:ascii="仿宋_GB2312" w:hAnsi="仿宋_GB2312" w:eastAsia="仿宋_GB2312" w:cs="仿宋_GB2312"/>
          <w:color w:val="auto"/>
          <w:sz w:val="32"/>
          <w:szCs w:val="32"/>
          <w:highlight w:val="none"/>
          <w:lang w:val="en-US" w:eastAsia="zh-CN"/>
        </w:rPr>
        <w:sectPr>
          <w:pgSz w:w="11906" w:h="16838"/>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widowControl w:val="0"/>
        <w:spacing w:line="360" w:lineRule="auto"/>
        <w:jc w:val="center"/>
        <w:rPr>
          <w:rFonts w:hint="eastAsia" w:ascii="仿宋_GB2312" w:hAnsi="仿宋_GB2312" w:eastAsia="仿宋_GB2312" w:cs="仿宋_GB2312"/>
          <w:b/>
          <w:bCs/>
          <w:color w:val="auto"/>
          <w:kern w:val="2"/>
          <w:sz w:val="24"/>
          <w:szCs w:val="24"/>
          <w:highlight w:val="none"/>
          <w:lang w:val="en-US" w:eastAsia="zh-CN" w:bidi="ar-SA"/>
        </w:rPr>
      </w:pPr>
      <w:r>
        <w:rPr>
          <w:rFonts w:hint="default" w:ascii="仿宋_GB2312" w:hAnsi="仿宋_GB2312" w:eastAsia="仿宋_GB2312" w:cs="仿宋_GB2312"/>
          <w:b/>
          <w:bCs/>
          <w:color w:val="auto"/>
          <w:kern w:val="2"/>
          <w:sz w:val="24"/>
          <w:szCs w:val="24"/>
          <w:highlight w:val="none"/>
          <w:lang w:val="en-US" w:eastAsia="zh-CN" w:bidi="ar-SA"/>
        </w:rPr>
        <w:t>表</w:t>
      </w:r>
      <w:r>
        <w:rPr>
          <w:rFonts w:hint="eastAsia" w:ascii="仿宋_GB2312" w:hAnsi="仿宋_GB2312" w:eastAsia="仿宋_GB2312" w:cs="仿宋_GB2312"/>
          <w:b/>
          <w:bCs/>
          <w:color w:val="auto"/>
          <w:kern w:val="2"/>
          <w:sz w:val="24"/>
          <w:szCs w:val="24"/>
          <w:highlight w:val="none"/>
          <w:lang w:val="en-US" w:eastAsia="zh-CN" w:bidi="ar-SA"/>
        </w:rPr>
        <w:t>3-1 实地走访单位及反馈意见一览表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7"/>
        <w:gridCol w:w="3774"/>
        <w:gridCol w:w="1098"/>
        <w:gridCol w:w="1252"/>
        <w:gridCol w:w="1715"/>
        <w:gridCol w:w="49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33" w:type="pct"/>
            <w:tcBorders>
              <w:bottom w:val="single" w:color="auto" w:sz="12" w:space="0"/>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bCs/>
                <w:color w:val="auto"/>
                <w:kern w:val="2"/>
                <w:sz w:val="24"/>
                <w:szCs w:val="24"/>
                <w:highlight w:val="none"/>
                <w:lang w:val="en-US" w:eastAsia="zh-CN" w:bidi="ar-SA"/>
              </w:rPr>
            </w:pPr>
            <w:r>
              <w:rPr>
                <w:rFonts w:hint="default" w:ascii="仿宋_GB2312" w:hAnsi="仿宋_GB2312" w:eastAsia="仿宋_GB2312" w:cs="仿宋_GB2312"/>
                <w:b/>
                <w:bCs/>
                <w:color w:val="auto"/>
                <w:kern w:val="2"/>
                <w:sz w:val="24"/>
                <w:szCs w:val="24"/>
                <w:highlight w:val="none"/>
                <w:lang w:val="en-US" w:eastAsia="zh-CN" w:bidi="ar-SA"/>
              </w:rPr>
              <w:t>序号</w:t>
            </w:r>
          </w:p>
        </w:tc>
        <w:tc>
          <w:tcPr>
            <w:tcW w:w="1402" w:type="pct"/>
            <w:tcBorders>
              <w:bottom w:val="single" w:color="auto" w:sz="12" w:space="0"/>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bCs/>
                <w:color w:val="auto"/>
                <w:kern w:val="2"/>
                <w:sz w:val="24"/>
                <w:szCs w:val="24"/>
                <w:highlight w:val="none"/>
                <w:lang w:val="en-US" w:eastAsia="zh-CN" w:bidi="ar-SA"/>
              </w:rPr>
            </w:pPr>
            <w:r>
              <w:rPr>
                <w:rFonts w:hint="default" w:ascii="仿宋_GB2312" w:hAnsi="仿宋_GB2312" w:eastAsia="仿宋_GB2312" w:cs="仿宋_GB2312"/>
                <w:b/>
                <w:bCs/>
                <w:color w:val="auto"/>
                <w:kern w:val="2"/>
                <w:sz w:val="24"/>
                <w:szCs w:val="24"/>
                <w:highlight w:val="none"/>
                <w:lang w:val="en-US" w:eastAsia="zh-CN" w:bidi="ar-SA"/>
              </w:rPr>
              <w:t>单位</w:t>
            </w:r>
          </w:p>
        </w:tc>
        <w:tc>
          <w:tcPr>
            <w:tcW w:w="408" w:type="pct"/>
            <w:tcBorders>
              <w:bottom w:val="single" w:color="auto" w:sz="12" w:space="0"/>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bCs/>
                <w:color w:val="auto"/>
                <w:kern w:val="2"/>
                <w:sz w:val="24"/>
                <w:szCs w:val="24"/>
                <w:highlight w:val="none"/>
                <w:lang w:val="en-US" w:eastAsia="zh-CN" w:bidi="ar-SA"/>
              </w:rPr>
            </w:pPr>
            <w:r>
              <w:rPr>
                <w:rFonts w:hint="default" w:ascii="仿宋_GB2312" w:hAnsi="仿宋_GB2312" w:eastAsia="仿宋_GB2312" w:cs="仿宋_GB2312"/>
                <w:b/>
                <w:bCs/>
                <w:color w:val="auto"/>
                <w:kern w:val="2"/>
                <w:sz w:val="24"/>
                <w:szCs w:val="24"/>
                <w:highlight w:val="none"/>
                <w:lang w:val="en-US" w:eastAsia="zh-CN" w:bidi="ar-SA"/>
              </w:rPr>
              <w:t>受访人</w:t>
            </w:r>
          </w:p>
        </w:tc>
        <w:tc>
          <w:tcPr>
            <w:tcW w:w="465" w:type="pct"/>
            <w:tcBorders>
              <w:bottom w:val="single" w:color="auto" w:sz="12" w:space="0"/>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bCs/>
                <w:color w:val="auto"/>
                <w:kern w:val="2"/>
                <w:sz w:val="24"/>
                <w:szCs w:val="24"/>
                <w:highlight w:val="none"/>
                <w:lang w:val="en-US" w:eastAsia="zh-CN" w:bidi="ar-SA"/>
              </w:rPr>
            </w:pPr>
            <w:r>
              <w:rPr>
                <w:rFonts w:hint="default" w:ascii="仿宋_GB2312" w:hAnsi="仿宋_GB2312" w:eastAsia="仿宋_GB2312" w:cs="仿宋_GB2312"/>
                <w:b/>
                <w:bCs/>
                <w:color w:val="auto"/>
                <w:kern w:val="2"/>
                <w:sz w:val="24"/>
                <w:szCs w:val="24"/>
                <w:highlight w:val="none"/>
                <w:lang w:val="en-US" w:eastAsia="zh-CN" w:bidi="ar-SA"/>
              </w:rPr>
              <w:t>职务</w:t>
            </w:r>
          </w:p>
        </w:tc>
        <w:tc>
          <w:tcPr>
            <w:tcW w:w="637" w:type="pct"/>
            <w:tcBorders>
              <w:bottom w:val="single" w:color="auto" w:sz="12" w:space="0"/>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bCs/>
                <w:color w:val="auto"/>
                <w:kern w:val="2"/>
                <w:sz w:val="24"/>
                <w:szCs w:val="24"/>
                <w:highlight w:val="none"/>
                <w:lang w:val="en-US" w:eastAsia="zh-CN" w:bidi="ar-SA"/>
              </w:rPr>
            </w:pPr>
            <w:r>
              <w:rPr>
                <w:rFonts w:hint="default" w:ascii="仿宋_GB2312" w:hAnsi="仿宋_GB2312" w:eastAsia="仿宋_GB2312" w:cs="仿宋_GB2312"/>
                <w:b/>
                <w:bCs/>
                <w:color w:val="auto"/>
                <w:kern w:val="2"/>
                <w:sz w:val="24"/>
                <w:szCs w:val="24"/>
                <w:highlight w:val="none"/>
                <w:lang w:val="en-US" w:eastAsia="zh-CN" w:bidi="ar-SA"/>
              </w:rPr>
              <w:t>电话</w:t>
            </w:r>
          </w:p>
        </w:tc>
        <w:tc>
          <w:tcPr>
            <w:tcW w:w="1853" w:type="pct"/>
            <w:tcBorders>
              <w:bottom w:val="single" w:color="auto" w:sz="12" w:space="0"/>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bCs/>
                <w:color w:val="auto"/>
                <w:kern w:val="2"/>
                <w:sz w:val="24"/>
                <w:szCs w:val="24"/>
                <w:highlight w:val="none"/>
                <w:lang w:val="en-US" w:eastAsia="zh-CN" w:bidi="ar-SA"/>
              </w:rPr>
            </w:pPr>
            <w:r>
              <w:rPr>
                <w:rFonts w:hint="default" w:ascii="仿宋_GB2312" w:hAnsi="仿宋_GB2312" w:eastAsia="仿宋_GB2312" w:cs="仿宋_GB2312"/>
                <w:b/>
                <w:bCs/>
                <w:color w:val="auto"/>
                <w:kern w:val="2"/>
                <w:sz w:val="24"/>
                <w:szCs w:val="24"/>
                <w:highlight w:val="none"/>
                <w:lang w:val="en-US" w:eastAsia="zh-CN" w:bidi="ar-SA"/>
              </w:rPr>
              <w:t>访谈意见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op w:val="single" w:color="auto" w:sz="12" w:space="0"/>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w:t>
            </w:r>
          </w:p>
        </w:tc>
        <w:tc>
          <w:tcPr>
            <w:tcW w:w="1402" w:type="pct"/>
            <w:tcBorders>
              <w:top w:val="single" w:color="auto"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bookmarkStart w:id="85" w:name="_GoBack"/>
            <w:r>
              <w:rPr>
                <w:rFonts w:hint="eastAsia" w:ascii="仿宋_GB2312" w:hAnsi="仿宋_GB2312" w:eastAsia="仿宋_GB2312" w:cs="仿宋_GB2312"/>
                <w:b w:val="0"/>
                <w:color w:val="auto"/>
                <w:kern w:val="2"/>
                <w:sz w:val="24"/>
                <w:szCs w:val="24"/>
                <w:highlight w:val="none"/>
                <w:lang w:val="en-US" w:eastAsia="zh-CN" w:bidi="ar-SA"/>
              </w:rPr>
              <w:t>淮北市相山区住房和城乡建设局</w:t>
            </w:r>
            <w:bookmarkEnd w:id="85"/>
          </w:p>
        </w:tc>
        <w:tc>
          <w:tcPr>
            <w:tcW w:w="408" w:type="pct"/>
            <w:tcBorders>
              <w:top w:val="single" w:color="auto"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侯勤才</w:t>
            </w:r>
          </w:p>
        </w:tc>
        <w:tc>
          <w:tcPr>
            <w:tcW w:w="465" w:type="pct"/>
            <w:tcBorders>
              <w:top w:val="single" w:color="auto"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工程师</w:t>
            </w:r>
          </w:p>
        </w:tc>
        <w:tc>
          <w:tcPr>
            <w:tcW w:w="637" w:type="pct"/>
            <w:tcBorders>
              <w:top w:val="single" w:color="auto"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0561-2339600</w:t>
            </w:r>
          </w:p>
        </w:tc>
        <w:tc>
          <w:tcPr>
            <w:tcW w:w="1853" w:type="pct"/>
            <w:tcBorders>
              <w:top w:val="single" w:color="auto" w:sz="12"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淮北市杜集区住房和城乡建设局</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张翼飞</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城建办主任</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18156176800</w:t>
            </w:r>
          </w:p>
        </w:tc>
        <w:tc>
          <w:tcPr>
            <w:tcW w:w="1853" w:type="pct"/>
            <w:tcBorders>
              <w:tl2br w:val="nil"/>
              <w:tr2bl w:val="nil"/>
            </w:tcBorders>
            <w:vAlign w:val="center"/>
          </w:tcPr>
          <w:p>
            <w:pPr>
              <w:keepNext w:val="0"/>
              <w:keepLines w:val="0"/>
              <w:pageBreakBefore w:val="0"/>
              <w:widowControl w:val="0"/>
              <w:numPr>
                <w:ilvl w:val="0"/>
                <w:numId w:val="5"/>
              </w:numPr>
              <w:kinsoku/>
              <w:wordWrap/>
              <w:overflowPunct/>
              <w:topLinePunct w:val="0"/>
              <w:autoSpaceDE/>
              <w:autoSpaceDN/>
              <w:bidi w:val="0"/>
              <w:adjustRightInd/>
              <w:snapToGrid/>
              <w:spacing w:before="0" w:beforeLines="0" w:line="240" w:lineRule="auto"/>
              <w:ind w:left="0" w:leftChars="0" w:firstLine="40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建议市级统筹，加大财政支持力度，拓宽融资渠道，引进社会资本注入，激发区域发展活力。</w:t>
            </w:r>
          </w:p>
          <w:p>
            <w:pPr>
              <w:keepNext w:val="0"/>
              <w:keepLines w:val="0"/>
              <w:pageBreakBefore w:val="0"/>
              <w:widowControl w:val="0"/>
              <w:numPr>
                <w:ilvl w:val="0"/>
                <w:numId w:val="5"/>
              </w:numPr>
              <w:kinsoku/>
              <w:wordWrap/>
              <w:overflowPunct/>
              <w:topLinePunct w:val="0"/>
              <w:autoSpaceDE/>
              <w:autoSpaceDN/>
              <w:bidi w:val="0"/>
              <w:adjustRightInd/>
              <w:snapToGrid/>
              <w:spacing w:before="0" w:beforeLines="0" w:line="240" w:lineRule="auto"/>
              <w:ind w:left="0" w:leftChars="0" w:firstLine="40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加强城市更新过程中多方协调，避免出现反复施工，交叉施工，反复开挖情况。</w:t>
            </w:r>
          </w:p>
          <w:p>
            <w:pPr>
              <w:keepNext w:val="0"/>
              <w:keepLines w:val="0"/>
              <w:pageBreakBefore w:val="0"/>
              <w:widowControl w:val="0"/>
              <w:numPr>
                <w:ilvl w:val="0"/>
                <w:numId w:val="5"/>
              </w:numPr>
              <w:kinsoku/>
              <w:wordWrap/>
              <w:overflowPunct/>
              <w:topLinePunct w:val="0"/>
              <w:autoSpaceDE/>
              <w:autoSpaceDN/>
              <w:bidi w:val="0"/>
              <w:adjustRightInd/>
              <w:snapToGrid/>
              <w:spacing w:before="0" w:beforeLines="0" w:line="240" w:lineRule="auto"/>
              <w:ind w:left="0" w:leftChars="0" w:firstLine="40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加强后期建后管养，例如部分老旧小区改造建后管养不到位，造成设备长期闲置，管扩不到位情况。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淮北市烈山区住房和城乡建设局</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赵忠</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副局长</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13355613996</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4</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淮北市相山区东街道办事处</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梁卫华</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副主任</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0561-3056216</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《暂行办法》有利于推动老旧小区改造城市更新，改善人居环境，提升群众获得感、幸福感。项目规划、施工合理高效。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5</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淮北市相山区西街道办事处</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许卫东</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工作人员</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19156196079</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6</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淮北市相山区相南街道办事处</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刘加连</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人大工委主任</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13615615181</w:t>
            </w:r>
          </w:p>
        </w:tc>
        <w:tc>
          <w:tcPr>
            <w:tcW w:w="1853" w:type="pct"/>
            <w:tcBorders>
              <w:tl2br w:val="nil"/>
              <w:tr2bl w:val="nil"/>
            </w:tcBorders>
            <w:vAlign w:val="center"/>
          </w:tcPr>
          <w:p>
            <w:pPr>
              <w:keepNext w:val="0"/>
              <w:keepLines w:val="0"/>
              <w:pageBreakBefore w:val="0"/>
              <w:widowControl w:val="0"/>
              <w:numPr>
                <w:ilvl w:val="0"/>
                <w:numId w:val="6"/>
              </w:numPr>
              <w:kinsoku/>
              <w:wordWrap/>
              <w:overflowPunct/>
              <w:topLinePunct w:val="0"/>
              <w:autoSpaceDE/>
              <w:autoSpaceDN/>
              <w:bidi w:val="0"/>
              <w:adjustRightInd/>
              <w:snapToGrid/>
              <w:spacing w:before="0" w:beforeLines="0" w:line="240" w:lineRule="auto"/>
              <w:ind w:left="0" w:leftChars="0" w:firstLine="40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在城市更新工作中，特别是老旧小区改造能把屋面维修纳入进去，有利于解决老百姓的急难愁盼的问题，提高居民的幸福感。</w:t>
            </w:r>
          </w:p>
          <w:p>
            <w:pPr>
              <w:keepNext w:val="0"/>
              <w:keepLines w:val="0"/>
              <w:pageBreakBefore w:val="0"/>
              <w:widowControl w:val="0"/>
              <w:numPr>
                <w:ilvl w:val="0"/>
                <w:numId w:val="6"/>
              </w:numPr>
              <w:kinsoku/>
              <w:wordWrap/>
              <w:overflowPunct/>
              <w:topLinePunct w:val="0"/>
              <w:autoSpaceDE/>
              <w:autoSpaceDN/>
              <w:bidi w:val="0"/>
              <w:adjustRightInd/>
              <w:snapToGrid/>
              <w:spacing w:before="0" w:beforeLines="0" w:line="240" w:lineRule="auto"/>
              <w:ind w:left="0" w:leftChars="0" w:firstLine="40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城市更新前一定要筹备好项目资金，不然的话施工单位无力承担垫付的资金，就会影响工程进度和施工质量。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shd w:val="clear" w:color="auto" w:fill="auto"/>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7</w:t>
            </w:r>
          </w:p>
        </w:tc>
        <w:tc>
          <w:tcPr>
            <w:tcW w:w="14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淮北市相山区任圩街道办事处</w:t>
            </w:r>
          </w:p>
        </w:tc>
        <w:tc>
          <w:tcPr>
            <w:tcW w:w="408"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张朝阳</w:t>
            </w:r>
          </w:p>
        </w:tc>
        <w:tc>
          <w:tcPr>
            <w:tcW w:w="46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公共管理办主任</w:t>
            </w:r>
          </w:p>
        </w:tc>
        <w:tc>
          <w:tcPr>
            <w:tcW w:w="637"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13965869561</w:t>
            </w:r>
          </w:p>
        </w:tc>
        <w:tc>
          <w:tcPr>
            <w:tcW w:w="1853"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8</w:t>
            </w:r>
          </w:p>
        </w:tc>
        <w:tc>
          <w:tcPr>
            <w:tcW w:w="14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淮北市高岳街道办事处</w:t>
            </w:r>
          </w:p>
        </w:tc>
        <w:tc>
          <w:tcPr>
            <w:tcW w:w="408"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王庆松</w:t>
            </w:r>
          </w:p>
        </w:tc>
        <w:tc>
          <w:tcPr>
            <w:tcW w:w="46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人大工委主任</w:t>
            </w:r>
          </w:p>
        </w:tc>
        <w:tc>
          <w:tcPr>
            <w:tcW w:w="637"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13965863650</w:t>
            </w:r>
          </w:p>
        </w:tc>
        <w:tc>
          <w:tcPr>
            <w:tcW w:w="1853"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需要统筹地下管网建设，完善后期设施管养资金和责任，做到建管并重。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9</w:t>
            </w:r>
          </w:p>
        </w:tc>
        <w:tc>
          <w:tcPr>
            <w:tcW w:w="14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淮北市杜集区矿山集街道办事处</w:t>
            </w:r>
          </w:p>
        </w:tc>
        <w:tc>
          <w:tcPr>
            <w:tcW w:w="408"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朱兵</w:t>
            </w:r>
          </w:p>
        </w:tc>
        <w:tc>
          <w:tcPr>
            <w:tcW w:w="46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主任</w:t>
            </w:r>
          </w:p>
        </w:tc>
        <w:tc>
          <w:tcPr>
            <w:tcW w:w="637"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13909617530</w:t>
            </w:r>
          </w:p>
        </w:tc>
        <w:tc>
          <w:tcPr>
            <w:tcW w:w="1853"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10</w:t>
            </w:r>
          </w:p>
        </w:tc>
        <w:tc>
          <w:tcPr>
            <w:tcW w:w="1402"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淮北市烈山区杨庄街道办事处</w:t>
            </w:r>
          </w:p>
        </w:tc>
        <w:tc>
          <w:tcPr>
            <w:tcW w:w="408"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徐丹丹</w:t>
            </w:r>
          </w:p>
        </w:tc>
        <w:tc>
          <w:tcPr>
            <w:tcW w:w="465"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主任</w:t>
            </w:r>
          </w:p>
        </w:tc>
        <w:tc>
          <w:tcPr>
            <w:tcW w:w="637"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17356107595</w:t>
            </w:r>
          </w:p>
        </w:tc>
        <w:tc>
          <w:tcPr>
            <w:tcW w:w="1853" w:type="pc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建议在办法中明确国土规划依据，城市更新是有技术指标的配套，实施中统筹考虑土地性质及出让方式，让更好的项目能落地实施。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11</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淮北市相山区西街道安康社区居委会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王琪</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0561-3895068</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12</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淮北市相山区西街道鹰山社区居委会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薛杰</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党总支副书记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15905618383</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希望接下来2025年老旧小区改造中，多解决居民群众想改造的，对生活带来不便的问题，例如屋面防水、雨污分流，辖区内统筹规划车位等问题。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13</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淮北市相山区东街道闸河社区居委会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李晨</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副主任</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0561-3023882</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《暂行办法》的执行有利于改善居民居住环境，希望能够加强改造后的维护，明确责任部门，保障维护资金，让改造的成果能够更好惠及居民。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14</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淮北市相山区东街道铁路社区居委会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王敏</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党总支副书记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0561-3056260</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15</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淮北市相山区相南街道黎苑社区居委会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黄伟伟</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18956162266</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改造后重点管养，施工单位质量把关，细节要做好，施工过程中要减少对居民的影响。地下管网工程审核要严格。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16</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淮北市相山区相南街道桓谭社区居委会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益岩岩</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副主任</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0561-2998662</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火车站周边道路改造存在交通问题，效果不明显。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17</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淮北市相山区任圩街道红星社区居委会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余素红</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社区书记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13856154055</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城市更新能有效改善人居环境，取得一定的成绩，但也存在一些问题，如政府参与度低，很多居民不配合与施工方协调沟通难，空间功能统筹不足，导致整体功能完善有限。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18</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淮北市相山区任圩街道南湖社区居委会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杨沙沙</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居委委员</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18056173661</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19</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淮北市高岳街道办事处高岳社区居委会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刘雷</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15055085730</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20</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淮北市高岳街道办事处岱河社区居委会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葛丹丹</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15056175835</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21</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淮北市杜集区矿山集街道双龙社区居委会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赵明明</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党总支副书记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18756166668</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无意见。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0"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w:t>
            </w:r>
            <w:r>
              <w:rPr>
                <w:rFonts w:hint="eastAsia" w:ascii="仿宋_GB2312" w:hAnsi="仿宋_GB2312" w:eastAsia="仿宋_GB2312" w:cs="仿宋_GB2312"/>
                <w:b w:val="0"/>
                <w:color w:val="auto"/>
                <w:kern w:val="2"/>
                <w:sz w:val="24"/>
                <w:szCs w:val="24"/>
                <w:highlight w:val="none"/>
                <w:lang w:val="en-US" w:eastAsia="zh-CN" w:bidi="ar-SA"/>
              </w:rPr>
              <w:t>2</w:t>
            </w:r>
          </w:p>
        </w:tc>
        <w:tc>
          <w:tcPr>
            <w:tcW w:w="14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淮北市烈山区杨庄街道淮选社区居委会</w:t>
            </w:r>
          </w:p>
        </w:tc>
        <w:tc>
          <w:tcPr>
            <w:tcW w:w="40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张强</w:t>
            </w:r>
          </w:p>
        </w:tc>
        <w:tc>
          <w:tcPr>
            <w:tcW w:w="46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副书记</w:t>
            </w:r>
          </w:p>
        </w:tc>
        <w:tc>
          <w:tcPr>
            <w:tcW w:w="6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15805611280</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雨污管网，小区大环境治理。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3" w:type="pct"/>
            <w:tcBorders>
              <w:tl2br w:val="nil"/>
              <w:tr2bl w:val="nil"/>
            </w:tcBorders>
            <w:vAlign w:val="center"/>
          </w:tcPr>
          <w:p>
            <w:pPr>
              <w:keepNext w:val="0"/>
              <w:keepLines w:val="0"/>
              <w:widowControl w:val="0"/>
              <w:numPr>
                <w:ilvl w:val="0"/>
                <w:numId w:val="0"/>
              </w:numPr>
              <w:bidi w:val="0"/>
              <w:spacing w:before="20" w:beforeLines="20" w:line="240" w:lineRule="auto"/>
              <w:ind w:leftChars="0"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23</w:t>
            </w:r>
          </w:p>
        </w:tc>
        <w:tc>
          <w:tcPr>
            <w:tcW w:w="1402" w:type="pct"/>
            <w:tcBorders>
              <w:tl2br w:val="nil"/>
              <w:tr2bl w:val="nil"/>
            </w:tcBorders>
            <w:vAlign w:val="center"/>
          </w:tcPr>
          <w:p>
            <w:pPr>
              <w:keepNext w:val="0"/>
              <w:keepLines w:val="0"/>
              <w:widowControl w:val="0"/>
              <w:bidi w:val="0"/>
              <w:spacing w:before="20" w:beforeLines="20" w:line="240" w:lineRule="auto"/>
              <w:ind w:firstLine="0" w:firstLineChars="0"/>
              <w:jc w:val="both"/>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淮北市烈山区杨庄街道铁运社区居委会</w:t>
            </w:r>
          </w:p>
        </w:tc>
        <w:tc>
          <w:tcPr>
            <w:tcW w:w="408" w:type="pct"/>
            <w:tcBorders>
              <w:tl2br w:val="nil"/>
              <w:tr2bl w:val="nil"/>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任婉婉</w:t>
            </w:r>
          </w:p>
        </w:tc>
        <w:tc>
          <w:tcPr>
            <w:tcW w:w="465" w:type="pct"/>
            <w:tcBorders>
              <w:tl2br w:val="nil"/>
              <w:tr2bl w:val="nil"/>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副书记</w:t>
            </w:r>
          </w:p>
        </w:tc>
        <w:tc>
          <w:tcPr>
            <w:tcW w:w="637" w:type="pct"/>
            <w:tcBorders>
              <w:tl2br w:val="nil"/>
              <w:tr2bl w:val="nil"/>
            </w:tcBorders>
            <w:vAlign w:val="center"/>
          </w:tcPr>
          <w:p>
            <w:pPr>
              <w:keepNext w:val="0"/>
              <w:keepLines w:val="0"/>
              <w:widowControl w:val="0"/>
              <w:bidi w:val="0"/>
              <w:spacing w:before="20" w:beforeLines="20" w:line="240" w:lineRule="auto"/>
              <w:ind w:firstLine="0" w:firstLineChars="0"/>
              <w:jc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15715610258</w:t>
            </w:r>
          </w:p>
        </w:tc>
        <w:tc>
          <w:tcPr>
            <w:tcW w:w="18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both"/>
              <w:textAlignment w:val="auto"/>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w:t>
            </w:r>
          </w:p>
        </w:tc>
      </w:tr>
    </w:tbl>
    <w:p>
      <w:pPr>
        <w:widowControl w:val="0"/>
        <w:ind w:left="0" w:leftChars="0" w:firstLine="0" w:firstLineChars="0"/>
        <w:jc w:val="both"/>
        <w:rPr>
          <w:rFonts w:hint="default" w:ascii="Times New Roman" w:hAnsi="Times New Roman" w:eastAsia="宋体" w:cs="Times New Roman"/>
          <w:color w:val="auto"/>
          <w:kern w:val="2"/>
          <w:sz w:val="21"/>
          <w:szCs w:val="24"/>
          <w:lang w:val="en-US" w:eastAsia="zh-CN" w:bidi="ar-SA"/>
        </w:rPr>
      </w:pPr>
    </w:p>
    <w:p>
      <w:pPr>
        <w:rPr>
          <w:rFonts w:hint="default"/>
          <w:color w:val="auto"/>
          <w:lang w:val="en-US" w:eastAsia="zh-CN"/>
        </w:rPr>
        <w:sectPr>
          <w:pgSz w:w="16838" w:h="11906" w:orient="landscape"/>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keepNext/>
        <w:keepLines/>
        <w:widowControl w:val="0"/>
        <w:bidi w:val="0"/>
        <w:snapToGrid/>
        <w:spacing w:before="100" w:beforeLines="100" w:after="100" w:afterLines="100" w:line="360" w:lineRule="auto"/>
        <w:jc w:val="center"/>
        <w:outlineLvl w:val="1"/>
        <w:rPr>
          <w:rFonts w:hint="eastAsia" w:ascii="仿宋_GB2312" w:hAnsi="仿宋_GB2312" w:eastAsia="仿宋_GB2312" w:cs="仿宋_GB2312"/>
          <w:b/>
          <w:bCs/>
          <w:color w:val="auto"/>
          <w:kern w:val="2"/>
          <w:sz w:val="32"/>
          <w:szCs w:val="32"/>
          <w:highlight w:val="none"/>
          <w:lang w:val="en-US" w:eastAsia="zh-CN" w:bidi="ar-SA"/>
        </w:rPr>
      </w:pPr>
      <w:bookmarkStart w:id="67" w:name="_Toc2701"/>
      <w:bookmarkStart w:id="68" w:name="_Toc28820"/>
      <w:r>
        <w:rPr>
          <w:rFonts w:hint="eastAsia" w:ascii="仿宋_GB2312" w:hAnsi="仿宋_GB2312" w:eastAsia="仿宋_GB2312" w:cs="仿宋_GB2312"/>
          <w:b/>
          <w:bCs/>
          <w:color w:val="auto"/>
          <w:kern w:val="2"/>
          <w:sz w:val="32"/>
          <w:szCs w:val="32"/>
          <w:highlight w:val="none"/>
          <w:lang w:val="en-US" w:eastAsia="zh-CN" w:bidi="ar-SA"/>
        </w:rPr>
        <w:t>3.2 问卷调查</w:t>
      </w:r>
      <w:bookmarkEnd w:id="67"/>
      <w:bookmarkEnd w:id="68"/>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default" w:ascii="仿宋_GB2312" w:hAnsi="仿宋_GB2312" w:eastAsia="仿宋_GB2312" w:cs="仿宋_GB2312"/>
          <w:color w:val="auto"/>
          <w:sz w:val="32"/>
          <w:szCs w:val="32"/>
          <w:highlight w:val="none"/>
          <w:lang w:val="en-US" w:eastAsia="zh-CN"/>
        </w:rPr>
        <w:t>为了进一步了解广大</w:t>
      </w:r>
      <w:r>
        <w:rPr>
          <w:rFonts w:hint="eastAsia" w:ascii="仿宋_GB2312" w:hAnsi="仿宋_GB2312" w:eastAsia="仿宋_GB2312" w:cs="仿宋_GB2312"/>
          <w:color w:val="auto"/>
          <w:sz w:val="32"/>
          <w:szCs w:val="32"/>
          <w:highlight w:val="none"/>
          <w:lang w:val="en-US" w:eastAsia="zh-CN"/>
        </w:rPr>
        <w:t>市民</w:t>
      </w:r>
      <w:r>
        <w:rPr>
          <w:rFonts w:hint="default" w:ascii="仿宋_GB2312" w:hAnsi="仿宋_GB2312" w:eastAsia="仿宋_GB2312" w:cs="仿宋_GB2312"/>
          <w:color w:val="auto"/>
          <w:sz w:val="32"/>
          <w:szCs w:val="32"/>
          <w:highlight w:val="none"/>
          <w:lang w:val="en-US" w:eastAsia="zh-CN"/>
        </w:rPr>
        <w:t>对于</w:t>
      </w:r>
      <w:r>
        <w:rPr>
          <w:rFonts w:hint="eastAsia" w:ascii="仿宋_GB2312" w:hAnsi="仿宋_GB2312" w:eastAsia="仿宋_GB2312" w:cs="仿宋_GB2312"/>
          <w:color w:val="auto"/>
          <w:sz w:val="32"/>
          <w:szCs w:val="32"/>
          <w:highlight w:val="none"/>
          <w:lang w:val="en-US" w:eastAsia="zh-CN"/>
        </w:rPr>
        <w:t>淮北市</w:t>
      </w:r>
      <w:r>
        <w:rPr>
          <w:rFonts w:hint="eastAsia" w:ascii="仿宋_GB2312" w:hAnsi="仿宋_GB2312" w:eastAsia="仿宋_GB2312" w:cs="仿宋_GB2312"/>
          <w:b w:val="0"/>
          <w:bCs w:val="0"/>
          <w:color w:val="auto"/>
          <w:sz w:val="32"/>
          <w:szCs w:val="32"/>
          <w:highlight w:val="none"/>
          <w:lang w:eastAsia="zh-CN"/>
        </w:rPr>
        <w:t>城市更新《暂行办法》及项目</w:t>
      </w:r>
      <w:r>
        <w:rPr>
          <w:rFonts w:hint="eastAsia" w:ascii="仿宋_GB2312" w:hAnsi="仿宋_GB2312" w:eastAsia="仿宋_GB2312" w:cs="仿宋_GB2312"/>
          <w:color w:val="auto"/>
          <w:sz w:val="32"/>
          <w:szCs w:val="32"/>
          <w:highlight w:val="none"/>
          <w:lang w:val="en-US" w:eastAsia="zh-CN"/>
        </w:rPr>
        <w:t>实施效果满意度，政策落实过程中存在的问题及</w:t>
      </w:r>
      <w:r>
        <w:rPr>
          <w:rFonts w:hint="eastAsia" w:ascii="仿宋_GB2312" w:hAnsi="仿宋_GB2312" w:eastAsia="仿宋_GB2312" w:cs="仿宋_GB2312"/>
          <w:b w:val="0"/>
          <w:bCs w:val="0"/>
          <w:color w:val="auto"/>
          <w:sz w:val="32"/>
          <w:szCs w:val="32"/>
          <w:highlight w:val="none"/>
        </w:rPr>
        <w:t>意见建议</w:t>
      </w:r>
      <w:r>
        <w:rPr>
          <w:rFonts w:hint="eastAsia" w:ascii="仿宋_GB2312" w:hAnsi="仿宋_GB2312" w:eastAsia="仿宋_GB2312" w:cs="仿宋_GB2312"/>
          <w:b w:val="0"/>
          <w:bCs w:val="0"/>
          <w:color w:val="auto"/>
          <w:sz w:val="32"/>
          <w:szCs w:val="32"/>
          <w:highlight w:val="none"/>
          <w:lang w:val="en-US" w:eastAsia="zh-CN"/>
        </w:rPr>
        <w:t>等</w:t>
      </w:r>
      <w:r>
        <w:rPr>
          <w:rFonts w:hint="default" w:ascii="仿宋_GB2312" w:hAnsi="仿宋_GB2312" w:eastAsia="仿宋_GB2312" w:cs="仿宋_GB2312"/>
          <w:color w:val="auto"/>
          <w:sz w:val="32"/>
          <w:szCs w:val="32"/>
          <w:highlight w:val="none"/>
          <w:lang w:val="en-US" w:eastAsia="zh-CN"/>
        </w:rPr>
        <w:t>，2025年</w:t>
      </w:r>
      <w:r>
        <w:rPr>
          <w:rFonts w:hint="eastAsia" w:ascii="仿宋_GB2312" w:hAnsi="仿宋_GB2312" w:eastAsia="仿宋_GB2312" w:cs="仿宋_GB2312"/>
          <w:color w:val="auto"/>
          <w:sz w:val="32"/>
          <w:szCs w:val="32"/>
          <w:highlight w:val="none"/>
          <w:lang w:val="en-US" w:eastAsia="zh-CN"/>
        </w:rPr>
        <w:t>4</w:t>
      </w:r>
      <w:r>
        <w:rPr>
          <w:rFonts w:hint="default" w:ascii="仿宋_GB2312" w:hAnsi="仿宋_GB2312" w:eastAsia="仿宋_GB2312" w:cs="仿宋_GB2312"/>
          <w:color w:val="auto"/>
          <w:sz w:val="32"/>
          <w:szCs w:val="32"/>
          <w:highlight w:val="none"/>
          <w:lang w:val="en-US" w:eastAsia="zh-CN"/>
        </w:rPr>
        <w:t>月</w:t>
      </w:r>
      <w:r>
        <w:rPr>
          <w:rFonts w:hint="eastAsia" w:ascii="仿宋_GB2312" w:hAnsi="仿宋_GB2312" w:eastAsia="仿宋_GB2312" w:cs="仿宋_GB2312"/>
          <w:color w:val="auto"/>
          <w:sz w:val="32"/>
          <w:szCs w:val="32"/>
          <w:highlight w:val="none"/>
          <w:lang w:val="en-US" w:eastAsia="zh-CN"/>
        </w:rPr>
        <w:t>21</w:t>
      </w:r>
      <w:r>
        <w:rPr>
          <w:rFonts w:hint="default" w:ascii="仿宋_GB2312" w:hAnsi="仿宋_GB2312" w:eastAsia="仿宋_GB2312" w:cs="仿宋_GB2312"/>
          <w:color w:val="auto"/>
          <w:sz w:val="32"/>
          <w:szCs w:val="32"/>
          <w:highlight w:val="none"/>
          <w:lang w:val="en-US" w:eastAsia="zh-CN"/>
        </w:rPr>
        <w:t>日至</w:t>
      </w:r>
      <w:r>
        <w:rPr>
          <w:rFonts w:hint="eastAsia" w:ascii="仿宋_GB2312" w:hAnsi="仿宋_GB2312" w:eastAsia="仿宋_GB2312" w:cs="仿宋_GB2312"/>
          <w:color w:val="auto"/>
          <w:sz w:val="32"/>
          <w:szCs w:val="32"/>
          <w:highlight w:val="none"/>
          <w:lang w:val="en-US" w:eastAsia="zh-CN"/>
        </w:rPr>
        <w:t>22</w:t>
      </w:r>
      <w:r>
        <w:rPr>
          <w:rFonts w:hint="default" w:ascii="仿宋_GB2312" w:hAnsi="仿宋_GB2312" w:eastAsia="仿宋_GB2312" w:cs="仿宋_GB2312"/>
          <w:color w:val="auto"/>
          <w:sz w:val="32"/>
          <w:szCs w:val="32"/>
          <w:highlight w:val="none"/>
          <w:lang w:val="en-US" w:eastAsia="zh-CN"/>
        </w:rPr>
        <w:t>日，评估单位采用现场调查与网络推送相结合的方式</w:t>
      </w:r>
      <w:r>
        <w:rPr>
          <w:rFonts w:hint="eastAsia" w:ascii="仿宋_GB2312" w:hAnsi="仿宋_GB2312" w:eastAsia="仿宋_GB2312" w:cs="仿宋_GB2312"/>
          <w:color w:val="auto"/>
          <w:sz w:val="32"/>
          <w:szCs w:val="32"/>
          <w:highlight w:val="none"/>
          <w:lang w:val="en-US" w:eastAsia="zh-CN"/>
        </w:rPr>
        <w:t>，</w:t>
      </w:r>
      <w:r>
        <w:rPr>
          <w:rFonts w:hint="default" w:ascii="仿宋_GB2312" w:hAnsi="仿宋_GB2312" w:eastAsia="仿宋_GB2312" w:cs="仿宋_GB2312"/>
          <w:color w:val="auto"/>
          <w:sz w:val="32"/>
          <w:szCs w:val="32"/>
          <w:highlight w:val="none"/>
          <w:lang w:val="en-US" w:eastAsia="zh-CN"/>
        </w:rPr>
        <w:t>开展了问卷调查工作。现场调查问卷与网络调查问卷内容设计一致</w:t>
      </w:r>
      <w:r>
        <w:rPr>
          <w:rFonts w:hint="eastAsia" w:ascii="仿宋_GB2312" w:hAnsi="仿宋_GB2312" w:eastAsia="仿宋_GB2312" w:cs="仿宋_GB2312"/>
          <w:color w:val="auto"/>
          <w:sz w:val="32"/>
          <w:szCs w:val="32"/>
          <w:highlight w:val="none"/>
          <w:lang w:val="en-US" w:eastAsia="zh-CN"/>
        </w:rPr>
        <w:t>。</w:t>
      </w:r>
    </w:p>
    <w:tbl>
      <w:tblPr>
        <w:tblStyle w:val="23"/>
        <w:tblW w:w="822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4054"/>
        <w:gridCol w:w="112"/>
        <w:gridCol w:w="405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154" w:hRule="exact"/>
          <w:jc w:val="center"/>
        </w:trPr>
        <w:tc>
          <w:tcPr>
            <w:tcW w:w="4054"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114300" distR="114300">
                  <wp:extent cx="2567940" cy="1368425"/>
                  <wp:effectExtent l="0" t="0" r="3810" b="3175"/>
                  <wp:docPr id="35" name="图片 35" descr="eee122366d9a81da7f972078e392ac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descr="eee122366d9a81da7f972078e392ac8"/>
                          <pic:cNvPicPr>
                            <a:picLocks noChangeAspect="true"/>
                          </pic:cNvPicPr>
                        </pic:nvPicPr>
                        <pic:blipFill>
                          <a:blip r:embed="rId22"/>
                          <a:stretch>
                            <a:fillRect/>
                          </a:stretch>
                        </pic:blipFill>
                        <pic:spPr>
                          <a:xfrm>
                            <a:off x="0" y="0"/>
                            <a:ext cx="2567940" cy="1368425"/>
                          </a:xfrm>
                          <a:prstGeom prst="rect">
                            <a:avLst/>
                          </a:prstGeom>
                        </pic:spPr>
                      </pic:pic>
                    </a:graphicData>
                  </a:graphic>
                </wp:inline>
              </w:drawing>
            </w:r>
          </w:p>
        </w:tc>
        <w:tc>
          <w:tcPr>
            <w:tcW w:w="112"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4054"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114300" distR="114300">
                  <wp:extent cx="2567940" cy="1368425"/>
                  <wp:effectExtent l="0" t="0" r="3810" b="3175"/>
                  <wp:docPr id="36" name="图片 36" descr="0933cfc617add573cc1bd3c0e6e9e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descr="0933cfc617add573cc1bd3c0e6e9e79"/>
                          <pic:cNvPicPr>
                            <a:picLocks noChangeAspect="true"/>
                          </pic:cNvPicPr>
                        </pic:nvPicPr>
                        <pic:blipFill>
                          <a:blip r:embed="rId23"/>
                          <a:stretch>
                            <a:fillRect/>
                          </a:stretch>
                        </pic:blipFill>
                        <pic:spPr>
                          <a:xfrm>
                            <a:off x="0" y="0"/>
                            <a:ext cx="2567940" cy="136842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7" w:hRule="exact"/>
          <w:jc w:val="center"/>
        </w:trPr>
        <w:tc>
          <w:tcPr>
            <w:tcW w:w="4054"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12"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4054"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154" w:hRule="exact"/>
          <w:jc w:val="center"/>
        </w:trPr>
        <w:tc>
          <w:tcPr>
            <w:tcW w:w="4054"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114300" distR="114300">
                  <wp:extent cx="2565400" cy="1443355"/>
                  <wp:effectExtent l="0" t="0" r="6350" b="4445"/>
                  <wp:docPr id="65" name="图片 65" descr="cdd197efe88be5baab16e2f54f80be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cdd197efe88be5baab16e2f54f80be1"/>
                          <pic:cNvPicPr>
                            <a:picLocks noChangeAspect="true"/>
                          </pic:cNvPicPr>
                        </pic:nvPicPr>
                        <pic:blipFill>
                          <a:blip r:embed="rId24"/>
                          <a:stretch>
                            <a:fillRect/>
                          </a:stretch>
                        </pic:blipFill>
                        <pic:spPr>
                          <a:xfrm>
                            <a:off x="0" y="0"/>
                            <a:ext cx="2565400" cy="1443355"/>
                          </a:xfrm>
                          <a:prstGeom prst="rect">
                            <a:avLst/>
                          </a:prstGeom>
                        </pic:spPr>
                      </pic:pic>
                    </a:graphicData>
                  </a:graphic>
                </wp:inline>
              </w:drawing>
            </w:r>
          </w:p>
        </w:tc>
        <w:tc>
          <w:tcPr>
            <w:tcW w:w="112"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4054" w:type="dxa"/>
            <w:tcBorders>
              <w:tl2br w:val="nil"/>
              <w:tr2bl w:val="nil"/>
            </w:tcBorders>
            <w:shd w:val="clear" w:color="auto" w:fill="FFFFFF"/>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114300" distR="114300">
                  <wp:extent cx="2567940" cy="1347470"/>
                  <wp:effectExtent l="0" t="0" r="3810" b="5080"/>
                  <wp:docPr id="66" name="图片 66" descr="0a4e57ba3db4120fe1b13c5020b5eed"/>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0a4e57ba3db4120fe1b13c5020b5eed"/>
                          <pic:cNvPicPr>
                            <a:picLocks noChangeAspect="true"/>
                          </pic:cNvPicPr>
                        </pic:nvPicPr>
                        <pic:blipFill>
                          <a:blip r:embed="rId25"/>
                          <a:stretch>
                            <a:fillRect/>
                          </a:stretch>
                        </pic:blipFill>
                        <pic:spPr>
                          <a:xfrm>
                            <a:off x="0" y="0"/>
                            <a:ext cx="2567940" cy="1347470"/>
                          </a:xfrm>
                          <a:prstGeom prst="rect">
                            <a:avLst/>
                          </a:prstGeom>
                        </pic:spPr>
                      </pic:pic>
                    </a:graphicData>
                  </a:graphic>
                </wp:inline>
              </w:drawing>
            </w:r>
          </w:p>
        </w:tc>
      </w:tr>
    </w:tbl>
    <w:p>
      <w:pPr>
        <w:widowControl w:val="0"/>
        <w:bidi w:val="0"/>
        <w:spacing w:line="240" w:lineRule="auto"/>
        <w:jc w:val="center"/>
        <w:rPr>
          <w:rFonts w:hint="eastAsia" w:ascii="仿宋_GB2312" w:hAnsi="仿宋_GB2312" w:eastAsia="仿宋_GB2312" w:cs="仿宋_GB2312"/>
          <w:b/>
          <w:color w:val="auto"/>
          <w:kern w:val="2"/>
          <w:sz w:val="21"/>
          <w:szCs w:val="24"/>
          <w:highlight w:val="none"/>
          <w:lang w:val="en-US" w:eastAsia="zh-CN" w:bidi="ar-SA"/>
        </w:rPr>
      </w:pPr>
      <w:r>
        <w:rPr>
          <w:rFonts w:hint="eastAsia" w:ascii="仿宋_GB2312" w:hAnsi="仿宋_GB2312" w:eastAsia="仿宋_GB2312" w:cs="仿宋_GB2312"/>
          <w:b/>
          <w:color w:val="auto"/>
          <w:kern w:val="2"/>
          <w:sz w:val="21"/>
          <w:szCs w:val="24"/>
          <w:highlight w:val="none"/>
          <w:lang w:val="en-US" w:eastAsia="zh-CN" w:bidi="ar-SA"/>
        </w:rPr>
        <w:t>图3-2 现场问卷调查（示例）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一、现场问卷调查</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评估小组选取已开展城市更新相关项目周边的商圈、居民区等人员聚集场所作为现场问卷调查点开展工作，调查员简介调查背景、目的、方法，调查对象现场完成问卷并现场回收。现场问卷调查情况见图3-2、附件3。回收纸质调查问卷见附件8。</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二、网络问卷调查</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评估小组采用“腾讯问卷”APP制作电子调查问卷，生成电子问卷二维码。通过实地走访的社区居委会工作人员协助推送问卷二维码至居民微信群，居民自主自愿参与调查。本次网络问卷调查共推送23个微信群，群成员共计3433人。网络问卷推送截图示例见图3-3，附件4。</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仿宋_GB2312" w:hAnsi="仿宋_GB2312" w:eastAsia="仿宋_GB2312" w:cs="仿宋_GB2312"/>
          <w:color w:val="auto"/>
          <w:sz w:val="32"/>
          <w:szCs w:val="32"/>
          <w:highlight w:val="none"/>
          <w:lang w:val="en-US" w:eastAsia="zh-CN"/>
        </w:rPr>
      </w:pPr>
      <w:r>
        <w:rPr>
          <w:rFonts w:hint="default" w:ascii="Times New Roman" w:hAnsi="Times New Roman" w:eastAsia="宋体" w:cs="Times New Roman"/>
          <w:color w:val="auto"/>
          <w:lang w:val="en-US" w:eastAsia="zh-CN"/>
        </w:rPr>
        <w:drawing>
          <wp:inline distT="0" distB="0" distL="114300" distR="114300">
            <wp:extent cx="1697990" cy="3756660"/>
            <wp:effectExtent l="0" t="0" r="16510" b="15240"/>
            <wp:docPr id="81" name="图片 81" descr="bc569a0294270c8650a2a114b3e9cef"/>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1" descr="bc569a0294270c8650a2a114b3e9cef"/>
                    <pic:cNvPicPr>
                      <a:picLocks noChangeAspect="true"/>
                    </pic:cNvPicPr>
                  </pic:nvPicPr>
                  <pic:blipFill>
                    <a:blip r:embed="rId26"/>
                    <a:stretch>
                      <a:fillRect/>
                    </a:stretch>
                  </pic:blipFill>
                  <pic:spPr>
                    <a:xfrm>
                      <a:off x="0" y="0"/>
                      <a:ext cx="1697990" cy="3756660"/>
                    </a:xfrm>
                    <a:prstGeom prst="rect">
                      <a:avLst/>
                    </a:prstGeom>
                  </pic:spPr>
                </pic:pic>
              </a:graphicData>
            </a:graphic>
          </wp:inline>
        </w:drawing>
      </w:r>
      <w:r>
        <w:rPr>
          <w:rFonts w:hint="default" w:ascii="Times New Roman" w:hAnsi="Times New Roman" w:eastAsia="宋体" w:cs="Times New Roman"/>
          <w:color w:val="auto"/>
          <w:lang w:val="en-US" w:eastAsia="zh-CN"/>
        </w:rPr>
        <w:drawing>
          <wp:inline distT="0" distB="0" distL="114300" distR="114300">
            <wp:extent cx="1738630" cy="3769995"/>
            <wp:effectExtent l="0" t="0" r="13970" b="1905"/>
            <wp:docPr id="88" name="图片 88" descr="d914f9de94a062bade8139062dce9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88" descr="d914f9de94a062bade8139062dce924"/>
                    <pic:cNvPicPr>
                      <a:picLocks noChangeAspect="true"/>
                    </pic:cNvPicPr>
                  </pic:nvPicPr>
                  <pic:blipFill>
                    <a:blip r:embed="rId27"/>
                    <a:stretch>
                      <a:fillRect/>
                    </a:stretch>
                  </pic:blipFill>
                  <pic:spPr>
                    <a:xfrm>
                      <a:off x="0" y="0"/>
                      <a:ext cx="1738630" cy="3769995"/>
                    </a:xfrm>
                    <a:prstGeom prst="rect">
                      <a:avLst/>
                    </a:prstGeom>
                  </pic:spPr>
                </pic:pic>
              </a:graphicData>
            </a:graphic>
          </wp:inline>
        </w:drawing>
      </w:r>
      <w:r>
        <w:rPr>
          <w:rFonts w:hint="default" w:ascii="Times New Roman" w:hAnsi="Times New Roman" w:eastAsia="宋体" w:cs="Times New Roman"/>
          <w:color w:val="auto"/>
          <w:lang w:val="en-US" w:eastAsia="zh-CN"/>
        </w:rPr>
        <w:drawing>
          <wp:inline distT="0" distB="0" distL="114300" distR="114300">
            <wp:extent cx="1737995" cy="3769360"/>
            <wp:effectExtent l="0" t="0" r="14605" b="2540"/>
            <wp:docPr id="101" name="图片 101" descr="8cf345e22fd21d32e14301478a69fb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101" descr="8cf345e22fd21d32e14301478a69fb6"/>
                    <pic:cNvPicPr>
                      <a:picLocks noChangeAspect="true"/>
                    </pic:cNvPicPr>
                  </pic:nvPicPr>
                  <pic:blipFill>
                    <a:blip r:embed="rId28"/>
                    <a:stretch>
                      <a:fillRect/>
                    </a:stretch>
                  </pic:blipFill>
                  <pic:spPr>
                    <a:xfrm>
                      <a:off x="0" y="0"/>
                      <a:ext cx="1737995" cy="3769360"/>
                    </a:xfrm>
                    <a:prstGeom prst="rect">
                      <a:avLst/>
                    </a:prstGeom>
                  </pic:spPr>
                </pic:pic>
              </a:graphicData>
            </a:graphic>
          </wp:inline>
        </w:drawing>
      </w:r>
    </w:p>
    <w:p>
      <w:pPr>
        <w:widowControl w:val="0"/>
        <w:bidi w:val="0"/>
        <w:spacing w:line="360" w:lineRule="auto"/>
        <w:jc w:val="center"/>
        <w:rPr>
          <w:rFonts w:hint="eastAsia" w:ascii="仿宋_GB2312" w:hAnsi="仿宋_GB2312" w:eastAsia="仿宋_GB2312" w:cs="仿宋_GB2312"/>
          <w:b/>
          <w:color w:val="auto"/>
          <w:kern w:val="2"/>
          <w:sz w:val="21"/>
          <w:szCs w:val="24"/>
          <w:highlight w:val="none"/>
          <w:lang w:val="en-US" w:eastAsia="zh-CN" w:bidi="ar-SA"/>
        </w:rPr>
      </w:pPr>
      <w:r>
        <w:rPr>
          <w:rFonts w:hint="eastAsia" w:ascii="仿宋_GB2312" w:hAnsi="仿宋_GB2312" w:eastAsia="仿宋_GB2312" w:cs="仿宋_GB2312"/>
          <w:b/>
          <w:color w:val="auto"/>
          <w:kern w:val="2"/>
          <w:sz w:val="21"/>
          <w:szCs w:val="24"/>
          <w:highlight w:val="none"/>
          <w:lang w:val="en-US" w:eastAsia="zh-CN" w:bidi="ar-SA"/>
        </w:rPr>
        <w:t>图3-3 微信推送问卷截图（示例）</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三、调查问卷统计分析</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现场问卷、网络问卷回收后逐一进行审核，剔除重复问卷及签字笔迹雷同、字迹不清、选项矛盾等无效问卷后，共计回收有效问卷282份，其中现场纸质调查问卷174份（占比61.7%），网络调查问卷108份（占比38.3%）。</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调查对象中女性比例略高于男性，年龄主要分布在30至60岁之间，中学、专科学历占比最高。调查对象组成结构见表3-2，问卷调查统计结果见表3-3，网络及纸质调查对象信息表见附件7，纸质调查问卷见附件8。</w:t>
      </w:r>
    </w:p>
    <w:p>
      <w:pPr>
        <w:widowControl w:val="0"/>
        <w:bidi w:val="0"/>
        <w:spacing w:line="360" w:lineRule="auto"/>
        <w:jc w:val="center"/>
        <w:rPr>
          <w:rFonts w:hint="eastAsia" w:ascii="仿宋_GB2312" w:hAnsi="仿宋_GB2312" w:eastAsia="仿宋_GB2312" w:cs="仿宋_GB2312"/>
          <w:b/>
          <w:color w:val="auto"/>
          <w:kern w:val="2"/>
          <w:sz w:val="24"/>
          <w:szCs w:val="24"/>
          <w:highlight w:val="none"/>
          <w:lang w:val="en-US" w:eastAsia="zh-CN" w:bidi="ar-SA"/>
        </w:rPr>
      </w:pPr>
    </w:p>
    <w:p>
      <w:pPr>
        <w:widowControl w:val="0"/>
        <w:bidi w:val="0"/>
        <w:spacing w:line="360" w:lineRule="auto"/>
        <w:jc w:val="center"/>
        <w:rPr>
          <w:rFonts w:hint="eastAsia" w:ascii="仿宋_GB2312" w:hAnsi="仿宋_GB2312" w:eastAsia="仿宋_GB2312" w:cs="仿宋_GB2312"/>
          <w:b/>
          <w:color w:val="auto"/>
          <w:kern w:val="2"/>
          <w:sz w:val="24"/>
          <w:szCs w:val="24"/>
          <w:highlight w:val="none"/>
          <w:lang w:val="en-US" w:eastAsia="zh-CN" w:bidi="ar-SA"/>
        </w:rPr>
      </w:pPr>
      <w:r>
        <w:rPr>
          <w:rFonts w:hint="eastAsia" w:ascii="仿宋_GB2312" w:hAnsi="仿宋_GB2312" w:eastAsia="仿宋_GB2312" w:cs="仿宋_GB2312"/>
          <w:b/>
          <w:color w:val="auto"/>
          <w:kern w:val="2"/>
          <w:sz w:val="24"/>
          <w:szCs w:val="24"/>
          <w:highlight w:val="none"/>
          <w:lang w:val="en-US" w:eastAsia="zh-CN" w:bidi="ar-SA"/>
        </w:rPr>
        <w:t>表3-2 调查对象组成结构表</w:t>
      </w:r>
    </w:p>
    <w:tbl>
      <w:tblPr>
        <w:tblStyle w:val="22"/>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254"/>
        <w:gridCol w:w="3439"/>
        <w:gridCol w:w="1741"/>
        <w:gridCol w:w="20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blHeader/>
        </w:trPr>
        <w:tc>
          <w:tcPr>
            <w:tcW w:w="736" w:type="pct"/>
            <w:tcBorders>
              <w:bottom w:val="single" w:color="000000" w:sz="12" w:space="0"/>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分类</w:t>
            </w:r>
          </w:p>
        </w:tc>
        <w:tc>
          <w:tcPr>
            <w:tcW w:w="2018" w:type="pct"/>
            <w:tcBorders>
              <w:bottom w:val="single" w:color="000000" w:sz="12" w:space="0"/>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类别</w:t>
            </w:r>
          </w:p>
        </w:tc>
        <w:tc>
          <w:tcPr>
            <w:tcW w:w="1021" w:type="pct"/>
            <w:tcBorders>
              <w:bottom w:val="single" w:color="000000" w:sz="12" w:space="0"/>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样本数</w:t>
            </w:r>
          </w:p>
        </w:tc>
        <w:tc>
          <w:tcPr>
            <w:tcW w:w="1223" w:type="pct"/>
            <w:tcBorders>
              <w:bottom w:val="single" w:color="000000" w:sz="12" w:space="0"/>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比例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restart"/>
            <w:tcBorders>
              <w:top w:val="single" w:color="000000" w:sz="12" w:space="0"/>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性别</w:t>
            </w:r>
          </w:p>
        </w:tc>
        <w:tc>
          <w:tcPr>
            <w:tcW w:w="2018" w:type="pct"/>
            <w:tcBorders>
              <w:top w:val="single" w:color="000000" w:sz="12" w:space="0"/>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男性</w:t>
            </w:r>
          </w:p>
        </w:tc>
        <w:tc>
          <w:tcPr>
            <w:tcW w:w="1021" w:type="pct"/>
            <w:tcBorders>
              <w:top w:val="single" w:color="000000" w:sz="12" w:space="0"/>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113</w:t>
            </w:r>
          </w:p>
        </w:tc>
        <w:tc>
          <w:tcPr>
            <w:tcW w:w="1223" w:type="pct"/>
            <w:tcBorders>
              <w:top w:val="single" w:color="000000" w:sz="12" w:space="0"/>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40.1%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女性</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167</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59.2%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年龄</w:t>
            </w: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&lt;30</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96</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30-60</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148</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52.5%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&gt;60</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37</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学历</w:t>
            </w: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9</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中学、专科</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196</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69.5%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本科</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73</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25.9%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硕士及以上</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职业</w:t>
            </w: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机关事业单位、国企、外企</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37</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社区居委会</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65</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私企</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15</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个体经营</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27</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自由职业</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35</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退休</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55</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19.5%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无业</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26</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其他</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20</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7.1%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36" w:type="pct"/>
            <w:vMerge w:val="continue"/>
            <w:tcBorders>
              <w:tl2br w:val="nil"/>
              <w:tr2bl w:val="nil"/>
            </w:tcBorders>
            <w:shd w:val="clear" w:color="auto" w:fill="auto"/>
            <w:noWrap/>
            <w:vAlign w:val="center"/>
          </w:tcPr>
          <w:p>
            <w:pPr>
              <w:jc w:val="center"/>
              <w:rPr>
                <w:rFonts w:hint="default" w:ascii="仿宋_GB2312" w:hAnsi="仿宋_GB2312" w:eastAsia="仿宋_GB2312" w:cs="仿宋_GB2312"/>
                <w:b w:val="0"/>
                <w:color w:val="auto"/>
                <w:kern w:val="2"/>
                <w:sz w:val="24"/>
                <w:szCs w:val="24"/>
                <w:highlight w:val="none"/>
                <w:lang w:val="en-US" w:eastAsia="zh-CN" w:bidi="ar-SA"/>
              </w:rPr>
            </w:pPr>
          </w:p>
        </w:tc>
        <w:tc>
          <w:tcPr>
            <w:tcW w:w="2018"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未填写</w:t>
            </w:r>
          </w:p>
        </w:tc>
        <w:tc>
          <w:tcPr>
            <w:tcW w:w="102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2</w:t>
            </w:r>
          </w:p>
        </w:tc>
        <w:tc>
          <w:tcPr>
            <w:tcW w:w="122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仿宋_GB2312" w:hAnsi="仿宋_GB2312" w:eastAsia="仿宋_GB2312" w:cs="仿宋_GB2312"/>
                <w:b w:val="0"/>
                <w:color w:val="auto"/>
                <w:kern w:val="2"/>
                <w:sz w:val="24"/>
                <w:szCs w:val="24"/>
                <w:highlight w:val="none"/>
                <w:lang w:val="en-US" w:eastAsia="zh-CN" w:bidi="ar-SA"/>
              </w:rPr>
            </w:pPr>
            <w:r>
              <w:rPr>
                <w:rFonts w:hint="default" w:ascii="仿宋_GB2312" w:hAnsi="仿宋_GB2312" w:eastAsia="仿宋_GB2312" w:cs="仿宋_GB2312"/>
                <w:b w:val="0"/>
                <w:color w:val="auto"/>
                <w:kern w:val="2"/>
                <w:sz w:val="24"/>
                <w:szCs w:val="24"/>
                <w:highlight w:val="none"/>
                <w:lang w:val="en-US" w:eastAsia="zh-CN" w:bidi="ar-SA"/>
              </w:rPr>
              <w:t>0.7%</w:t>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_GB2312" w:hAnsi="仿宋_GB2312" w:eastAsia="仿宋_GB2312" w:cs="仿宋_GB2312"/>
          <w:b/>
          <w:color w:val="auto"/>
          <w:kern w:val="2"/>
          <w:sz w:val="24"/>
          <w:szCs w:val="24"/>
          <w:highlight w:val="none"/>
          <w:lang w:val="en-US" w:eastAsia="zh-CN" w:bidi="ar-SA"/>
        </w:rPr>
      </w:pPr>
      <w:r>
        <w:rPr>
          <w:rFonts w:hint="eastAsia" w:ascii="仿宋_GB2312" w:hAnsi="仿宋_GB2312" w:eastAsia="仿宋_GB2312" w:cs="仿宋_GB2312"/>
          <w:b/>
          <w:color w:val="auto"/>
          <w:kern w:val="2"/>
          <w:sz w:val="24"/>
          <w:szCs w:val="24"/>
          <w:highlight w:val="none"/>
          <w:lang w:val="en-US" w:eastAsia="zh-CN" w:bidi="ar-SA"/>
        </w:rPr>
        <w:t>表3-3 调查问卷统计表</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3961"/>
        <w:gridCol w:w="2291"/>
        <w:gridCol w:w="1172"/>
        <w:gridCol w:w="109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tblHeader/>
          <w:jc w:val="center"/>
        </w:trPr>
        <w:tc>
          <w:tcPr>
            <w:tcW w:w="2324" w:type="pct"/>
            <w:tcBorders>
              <w:bottom w:val="single" w:color="000000" w:sz="12"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问题</w:t>
            </w:r>
          </w:p>
        </w:tc>
        <w:tc>
          <w:tcPr>
            <w:tcW w:w="1344" w:type="pct"/>
            <w:tcBorders>
              <w:bottom w:val="single" w:color="000000" w:sz="12"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选项</w:t>
            </w:r>
          </w:p>
        </w:tc>
        <w:tc>
          <w:tcPr>
            <w:tcW w:w="687" w:type="pct"/>
            <w:tcBorders>
              <w:bottom w:val="single" w:color="000000" w:sz="12"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选择数</w:t>
            </w:r>
          </w:p>
        </w:tc>
        <w:tc>
          <w:tcPr>
            <w:tcW w:w="642" w:type="pct"/>
            <w:tcBorders>
              <w:bottom w:val="single" w:color="000000" w:sz="12"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color w:val="auto"/>
                <w:kern w:val="2"/>
                <w:sz w:val="24"/>
                <w:szCs w:val="24"/>
                <w:highlight w:val="none"/>
                <w:lang w:val="en-US" w:eastAsia="zh-CN" w:bidi="ar-SA"/>
              </w:rPr>
            </w:pPr>
            <w:r>
              <w:rPr>
                <w:rFonts w:hint="eastAsia" w:ascii="仿宋_GB2312" w:hAnsi="仿宋_GB2312" w:eastAsia="仿宋_GB2312" w:cs="仿宋_GB2312"/>
                <w:b/>
                <w:bCs/>
                <w:color w:val="auto"/>
                <w:kern w:val="2"/>
                <w:sz w:val="24"/>
                <w:szCs w:val="24"/>
                <w:highlight w:val="none"/>
                <w:lang w:val="en-US" w:eastAsia="zh-CN" w:bidi="ar-SA"/>
              </w:rPr>
              <w:t>比例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op w:val="single" w:color="000000" w:sz="12" w:space="0"/>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1.您在淮北市居住或工作多长时间？</w:t>
            </w:r>
          </w:p>
        </w:tc>
        <w:tc>
          <w:tcPr>
            <w:tcW w:w="1344" w:type="pct"/>
            <w:tcBorders>
              <w:top w:val="single" w:color="000000" w:sz="12" w:space="0"/>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1年以下</w:t>
            </w:r>
          </w:p>
        </w:tc>
        <w:tc>
          <w:tcPr>
            <w:tcW w:w="687" w:type="pct"/>
            <w:tcBorders>
              <w:top w:val="single" w:color="000000" w:sz="12" w:space="0"/>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w:t>
            </w:r>
          </w:p>
        </w:tc>
        <w:tc>
          <w:tcPr>
            <w:tcW w:w="642" w:type="pct"/>
            <w:tcBorders>
              <w:top w:val="single" w:color="000000" w:sz="12" w:space="0"/>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1～5年</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8</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5年以上</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270</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95.7%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您是否亲历过淮北市已实施的城市更新项目？（如：老旧小区改造，燃气、供水、排水管网改造，城市道路改造，路灯安装，全民健身中心，体育公园，口袋公园，“书香淮北”城市书房，火车站周边交通环境提升，工业遗址改造，文创街区等）</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是</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264</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93.6%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否</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6.4%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3.在城市更新过程中，您是否参与过意见征求相关活动？</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经常参与</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93</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33.0%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偶尔参与</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102</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36.2%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听说过但未参与</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61</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没听说过</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26</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4.您认为《暂行办法》关于城市更新项目的规划、计划、实施程序是否合理、高效？</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是</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210</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74.5%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不知道</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60</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21.3%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否</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12</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5.您认为目前已经实施的城市更新项目是否有必要？</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是</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248</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87.9%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不知道</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29</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否</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6.您认为实施更新的区域在住房条件、交通设施、公共服务、市容环境等方面是否有所改善？</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显著改善</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128</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有改善</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120</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改善不明显</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31</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没有改善</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3</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7.您认为下一阶段淮北市城市更新工作需要在哪些方面进一步提升？（可多选）</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加大程序公开</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117</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加大公众参与力度</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153</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54.3%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加大政策、资金支持力度</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157</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55.7%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加强监督管理</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158</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完善文体、医疗功能</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167</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提升市政基础设施</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142</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50.4%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加强历史文化保护传承</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82</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无提升意见</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17</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其他</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8.您认为《暂行办法》执行中是否能够维护社会各方的合法权益？</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是</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232</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82.3%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不知道</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45</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否</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5</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restart"/>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9.您对于《暂行办法》实施整体效果是否满意？</w:t>
            </w: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满意</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171</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60.6%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基本满意</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98</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34.8%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6" w:hRule="atLeast"/>
          <w:jc w:val="center"/>
        </w:trPr>
        <w:tc>
          <w:tcPr>
            <w:tcW w:w="2324" w:type="pct"/>
            <w:vMerge w:val="continue"/>
            <w:tcBorders>
              <w:tl2br w:val="nil"/>
              <w:tr2bl w:val="nil"/>
            </w:tcBorders>
            <w:shd w:val="clear" w:color="auto" w:fill="auto"/>
            <w:vAlign w:val="center"/>
          </w:tcPr>
          <w:p>
            <w:pPr>
              <w:keepNext w:val="0"/>
              <w:keepLines w:val="0"/>
              <w:widowControl/>
              <w:suppressLineNumbers w:val="0"/>
              <w:jc w:val="left"/>
              <w:textAlignment w:val="center"/>
              <w:rPr>
                <w:rFonts w:hint="eastAsia" w:ascii="仿宋_GB2312" w:hAnsi="仿宋_GB2312" w:eastAsia="仿宋_GB2312" w:cs="仿宋_GB2312"/>
                <w:b w:val="0"/>
                <w:color w:val="auto"/>
                <w:kern w:val="2"/>
                <w:sz w:val="24"/>
                <w:szCs w:val="24"/>
                <w:highlight w:val="none"/>
                <w:lang w:val="en-US" w:eastAsia="zh-CN" w:bidi="ar-SA"/>
              </w:rPr>
            </w:pPr>
          </w:p>
        </w:tc>
        <w:tc>
          <w:tcPr>
            <w:tcW w:w="1344"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不满意</w:t>
            </w:r>
          </w:p>
        </w:tc>
        <w:tc>
          <w:tcPr>
            <w:tcW w:w="687"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13</w:t>
            </w:r>
          </w:p>
        </w:tc>
        <w:tc>
          <w:tcPr>
            <w:tcW w:w="642"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color w:val="auto"/>
                <w:kern w:val="2"/>
                <w:sz w:val="24"/>
                <w:szCs w:val="24"/>
                <w:highlight w:val="none"/>
                <w:lang w:val="en-US" w:eastAsia="zh-CN" w:bidi="ar-SA"/>
              </w:rPr>
            </w:pPr>
            <w:r>
              <w:rPr>
                <w:rFonts w:hint="eastAsia" w:ascii="仿宋_GB2312" w:hAnsi="仿宋_GB2312" w:eastAsia="仿宋_GB2312" w:cs="仿宋_GB2312"/>
                <w:b w:val="0"/>
                <w:color w:val="auto"/>
                <w:kern w:val="2"/>
                <w:sz w:val="24"/>
                <w:szCs w:val="24"/>
                <w:highlight w:val="none"/>
                <w:lang w:val="en-US" w:eastAsia="zh-CN" w:bidi="ar-SA"/>
              </w:rPr>
              <w:t>4.6%</w:t>
            </w:r>
          </w:p>
        </w:tc>
      </w:tr>
    </w:tbl>
    <w:p>
      <w:pPr>
        <w:keepNext w:val="0"/>
        <w:keepLines w:val="0"/>
        <w:pageBreakBefore w:val="0"/>
        <w:widowControl w:val="0"/>
        <w:kinsoku/>
        <w:wordWrap/>
        <w:overflowPunct/>
        <w:topLinePunct w:val="0"/>
        <w:autoSpaceDE/>
        <w:autoSpaceDN/>
        <w:bidi w:val="0"/>
        <w:adjustRightInd/>
        <w:snapToGrid/>
        <w:spacing w:line="560" w:lineRule="exact"/>
        <w:ind w:firstLine="642" w:firstLineChars="200"/>
        <w:textAlignment w:val="auto"/>
        <w:rPr>
          <w:rFonts w:hint="eastAsia" w:ascii="仿宋_GB2312" w:hAnsi="仿宋_GB2312" w:eastAsia="仿宋_GB2312" w:cs="仿宋_GB2312"/>
          <w:b/>
          <w:bCs/>
          <w:color w:val="auto"/>
          <w:sz w:val="32"/>
          <w:szCs w:val="32"/>
          <w:highlight w:val="none"/>
          <w:lang w:val="en-US" w:eastAsia="zh-CN"/>
        </w:rPr>
      </w:pPr>
      <w:r>
        <w:rPr>
          <w:rFonts w:hint="eastAsia" w:ascii="仿宋_GB2312" w:hAnsi="仿宋_GB2312" w:eastAsia="仿宋_GB2312" w:cs="仿宋_GB2312"/>
          <w:b/>
          <w:bCs/>
          <w:color w:val="auto"/>
          <w:sz w:val="32"/>
          <w:szCs w:val="32"/>
          <w:highlight w:val="none"/>
          <w:lang w:val="en-US" w:eastAsia="zh-CN"/>
        </w:rPr>
        <w:t>调查问卷统计分析：</w:t>
      </w:r>
    </w:p>
    <w:p>
      <w:pPr>
        <w:keepNext w:val="0"/>
        <w:keepLines w:val="0"/>
        <w:pageBreakBefore w:val="0"/>
        <w:widowControl w:val="0"/>
        <w:numPr>
          <w:ilvl w:val="0"/>
          <w:numId w:val="7"/>
        </w:numPr>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调查对象大多在淮北居住5年以上，这一群体占比达95.7%。</w:t>
      </w:r>
    </w:p>
    <w:p>
      <w:pPr>
        <w:keepNext w:val="0"/>
        <w:keepLines w:val="0"/>
        <w:pageBreakBefore w:val="0"/>
        <w:widowControl w:val="0"/>
        <w:numPr>
          <w:ilvl w:val="0"/>
          <w:numId w:val="7"/>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b w:val="0"/>
          <w:bCs w:val="0"/>
          <w:color w:val="auto"/>
          <w:kern w:val="0"/>
          <w:sz w:val="32"/>
          <w:szCs w:val="32"/>
          <w:lang w:val="en-US" w:eastAsia="zh-CN" w:bidi="ar-SA"/>
        </w:rPr>
      </w:pPr>
      <w:r>
        <w:rPr>
          <w:rFonts w:hint="eastAsia" w:ascii="仿宋_GB2312" w:hAnsi="仿宋_GB2312" w:eastAsia="仿宋_GB2312" w:cs="仿宋_GB2312"/>
          <w:b w:val="0"/>
          <w:bCs w:val="0"/>
          <w:color w:val="auto"/>
          <w:kern w:val="0"/>
          <w:sz w:val="32"/>
          <w:szCs w:val="32"/>
          <w:lang w:val="en-US" w:eastAsia="zh-CN" w:bidi="ar-SA"/>
        </w:rPr>
        <w:t>93.6%的受访居民亲历过淮北市已实施的城市更新项目。</w:t>
      </w:r>
    </w:p>
    <w:p>
      <w:pPr>
        <w:keepNext w:val="0"/>
        <w:keepLines w:val="0"/>
        <w:pageBreakBefore w:val="0"/>
        <w:widowControl w:val="0"/>
        <w:numPr>
          <w:ilvl w:val="0"/>
          <w:numId w:val="7"/>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公众参与情况</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调查问卷表明，33.0%的受访者表示在城市更新过程中，经常参与意见征求相关活动，36.2%表示偶尔参与，30.8%的受访者表示未参与过或未听说过，整体参与度不高。</w:t>
      </w:r>
    </w:p>
    <w:p>
      <w:pPr>
        <w:keepNext w:val="0"/>
        <w:keepLines w:val="0"/>
        <w:pageBreakBefore w:val="0"/>
        <w:widowControl w:val="0"/>
        <w:numPr>
          <w:ilvl w:val="0"/>
          <w:numId w:val="7"/>
        </w:numPr>
        <w:kinsoku/>
        <w:wordWrap/>
        <w:overflowPunct/>
        <w:topLinePunct w:val="0"/>
        <w:autoSpaceDE/>
        <w:autoSpaceDN/>
        <w:bidi w:val="0"/>
        <w:adjustRightInd/>
        <w:snapToGrid/>
        <w:spacing w:line="560" w:lineRule="exact"/>
        <w:ind w:left="0" w:leftChars="0" w:firstLine="642" w:firstLineChars="200"/>
        <w:textAlignment w:val="auto"/>
        <w:rPr>
          <w:rFonts w:hint="default" w:ascii="仿宋_GB2312" w:hAnsi="仿宋_GB2312" w:eastAsia="仿宋_GB2312" w:cs="仿宋_GB2312"/>
          <w:b/>
          <w:bCs/>
          <w:color w:val="auto"/>
          <w:sz w:val="32"/>
          <w:szCs w:val="32"/>
          <w:highlight w:val="none"/>
          <w:lang w:val="en-US" w:eastAsia="zh-CN"/>
        </w:rPr>
      </w:pPr>
      <w:r>
        <w:rPr>
          <w:rFonts w:hint="default" w:ascii="仿宋_GB2312" w:hAnsi="仿宋_GB2312" w:eastAsia="仿宋_GB2312" w:cs="仿宋_GB2312"/>
          <w:b/>
          <w:bCs/>
          <w:color w:val="auto"/>
          <w:sz w:val="32"/>
          <w:szCs w:val="32"/>
          <w:highlight w:val="none"/>
          <w:lang w:val="en-US" w:eastAsia="zh-CN"/>
        </w:rPr>
        <w:t>关于</w:t>
      </w:r>
      <w:r>
        <w:rPr>
          <w:rFonts w:hint="eastAsia" w:ascii="仿宋_GB2312" w:hAnsi="仿宋_GB2312" w:eastAsia="仿宋_GB2312" w:cs="仿宋_GB2312"/>
          <w:b/>
          <w:bCs/>
          <w:color w:val="auto"/>
          <w:sz w:val="32"/>
          <w:szCs w:val="32"/>
          <w:highlight w:val="none"/>
          <w:lang w:val="en-US" w:eastAsia="zh-CN"/>
        </w:rPr>
        <w:t>《暂行办法》</w:t>
      </w:r>
      <w:r>
        <w:rPr>
          <w:rFonts w:hint="default" w:ascii="仿宋_GB2312" w:hAnsi="仿宋_GB2312" w:eastAsia="仿宋_GB2312" w:cs="仿宋_GB2312"/>
          <w:b/>
          <w:bCs/>
          <w:color w:val="auto"/>
          <w:sz w:val="32"/>
          <w:szCs w:val="32"/>
          <w:highlight w:val="none"/>
          <w:lang w:val="en-US" w:eastAsia="zh-CN"/>
        </w:rPr>
        <w:t>关于城市更新项目的规划、计划、实施程序是否合理、高效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default" w:ascii="仿宋_GB2312" w:hAnsi="仿宋_GB2312" w:eastAsia="仿宋_GB2312" w:cs="仿宋_GB2312"/>
          <w:color w:val="auto"/>
          <w:sz w:val="32"/>
          <w:szCs w:val="32"/>
          <w:highlight w:val="none"/>
          <w:lang w:val="en-US" w:eastAsia="zh-CN"/>
        </w:rPr>
        <w:t>总体来看，74.</w:t>
      </w:r>
      <w:r>
        <w:rPr>
          <w:rFonts w:hint="eastAsia" w:ascii="仿宋_GB2312" w:hAnsi="仿宋_GB2312" w:eastAsia="仿宋_GB2312" w:cs="仿宋_GB2312"/>
          <w:color w:val="auto"/>
          <w:sz w:val="32"/>
          <w:szCs w:val="32"/>
          <w:highlight w:val="none"/>
          <w:lang w:val="en-US" w:eastAsia="zh-CN"/>
        </w:rPr>
        <w:t>5</w:t>
      </w:r>
      <w:r>
        <w:rPr>
          <w:rFonts w:hint="default" w:ascii="仿宋_GB2312" w:hAnsi="仿宋_GB2312" w:eastAsia="仿宋_GB2312" w:cs="仿宋_GB2312"/>
          <w:color w:val="auto"/>
          <w:sz w:val="32"/>
          <w:szCs w:val="32"/>
          <w:highlight w:val="none"/>
          <w:lang w:val="en-US" w:eastAsia="zh-CN"/>
        </w:rPr>
        <w:t>%受访居民认为合理、高效，</w:t>
      </w:r>
      <w:r>
        <w:rPr>
          <w:rFonts w:hint="eastAsia" w:ascii="仿宋_GB2312" w:hAnsi="仿宋_GB2312" w:eastAsia="仿宋_GB2312" w:cs="仿宋_GB2312"/>
          <w:color w:val="auto"/>
          <w:sz w:val="32"/>
          <w:szCs w:val="32"/>
          <w:highlight w:val="none"/>
          <w:lang w:val="en-US" w:eastAsia="zh-CN"/>
        </w:rPr>
        <w:t>4.3</w:t>
      </w:r>
      <w:r>
        <w:rPr>
          <w:rFonts w:hint="default" w:ascii="仿宋_GB2312" w:hAnsi="仿宋_GB2312" w:eastAsia="仿宋_GB2312" w:cs="仿宋_GB2312"/>
          <w:color w:val="auto"/>
          <w:sz w:val="32"/>
          <w:szCs w:val="32"/>
          <w:highlight w:val="none"/>
          <w:lang w:val="en-US" w:eastAsia="zh-CN"/>
        </w:rPr>
        <w:t>%受访居民持否定态度，</w:t>
      </w:r>
      <w:r>
        <w:rPr>
          <w:rFonts w:hint="eastAsia" w:ascii="仿宋_GB2312" w:hAnsi="仿宋_GB2312" w:eastAsia="仿宋_GB2312" w:cs="仿宋_GB2312"/>
          <w:color w:val="auto"/>
          <w:sz w:val="32"/>
          <w:szCs w:val="32"/>
          <w:highlight w:val="none"/>
          <w:lang w:val="en-US" w:eastAsia="zh-CN"/>
        </w:rPr>
        <w:t>21.3</w:t>
      </w:r>
      <w:r>
        <w:rPr>
          <w:rFonts w:hint="default" w:ascii="仿宋_GB2312" w:hAnsi="仿宋_GB2312" w:eastAsia="仿宋_GB2312" w:cs="仿宋_GB2312"/>
          <w:color w:val="auto"/>
          <w:sz w:val="32"/>
          <w:szCs w:val="32"/>
          <w:highlight w:val="none"/>
          <w:lang w:val="en-US" w:eastAsia="zh-CN"/>
        </w:rPr>
        <w:t>%受访居民表示不知道。</w:t>
      </w:r>
    </w:p>
    <w:p>
      <w:pPr>
        <w:keepNext w:val="0"/>
        <w:keepLines w:val="0"/>
        <w:pageBreakBefore w:val="0"/>
        <w:widowControl w:val="0"/>
        <w:numPr>
          <w:ilvl w:val="0"/>
          <w:numId w:val="7"/>
        </w:numPr>
        <w:kinsoku/>
        <w:wordWrap/>
        <w:overflowPunct/>
        <w:autoSpaceDE/>
        <w:autoSpaceDN/>
        <w:bidi w:val="0"/>
        <w:adjustRightInd/>
        <w:snapToGrid/>
        <w:spacing w:line="560" w:lineRule="exact"/>
        <w:ind w:left="0" w:leftChars="0" w:firstLine="642" w:firstLineChars="200"/>
        <w:jc w:val="both"/>
        <w:textAlignment w:val="auto"/>
        <w:rPr>
          <w:rFonts w:hint="default"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对</w:t>
      </w:r>
      <w:r>
        <w:rPr>
          <w:rFonts w:hint="default" w:ascii="仿宋_GB2312" w:hAnsi="仿宋_GB2312" w:eastAsia="仿宋_GB2312" w:cs="仿宋_GB2312"/>
          <w:b/>
          <w:bCs/>
          <w:color w:val="auto"/>
          <w:kern w:val="2"/>
          <w:sz w:val="32"/>
          <w:szCs w:val="32"/>
          <w:highlight w:val="none"/>
          <w:lang w:val="en-US" w:eastAsia="zh-CN" w:bidi="ar-SA"/>
        </w:rPr>
        <w:t>目前已经实施的城市更新项目</w:t>
      </w:r>
      <w:r>
        <w:rPr>
          <w:rFonts w:hint="eastAsia" w:ascii="仿宋_GB2312" w:hAnsi="仿宋_GB2312" w:eastAsia="仿宋_GB2312" w:cs="仿宋_GB2312"/>
          <w:b/>
          <w:bCs/>
          <w:color w:val="auto"/>
          <w:kern w:val="2"/>
          <w:sz w:val="32"/>
          <w:szCs w:val="32"/>
          <w:highlight w:val="none"/>
          <w:lang w:val="en-US" w:eastAsia="zh-CN" w:bidi="ar-SA"/>
        </w:rPr>
        <w:t>必要性的认可度</w:t>
      </w:r>
    </w:p>
    <w:p>
      <w:pPr>
        <w:keepNext w:val="0"/>
        <w:keepLines w:val="0"/>
        <w:pageBreakBefore w:val="0"/>
        <w:widowControl w:val="0"/>
        <w:kinsoku/>
        <w:wordWrap/>
        <w:overflow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b w:val="0"/>
          <w:bCs w:val="0"/>
          <w:color w:val="auto"/>
          <w:kern w:val="2"/>
          <w:sz w:val="32"/>
          <w:szCs w:val="32"/>
          <w:highlight w:val="none"/>
          <w:lang w:val="en-US" w:eastAsia="zh-CN" w:bidi="ar-SA"/>
        </w:rPr>
        <w:t>总体</w:t>
      </w:r>
      <w:r>
        <w:rPr>
          <w:rFonts w:hint="eastAsia" w:ascii="仿宋_GB2312" w:hAnsi="仿宋_GB2312" w:eastAsia="仿宋_GB2312" w:cs="仿宋_GB2312"/>
          <w:b w:val="0"/>
          <w:bCs w:val="0"/>
          <w:color w:val="auto"/>
          <w:kern w:val="2"/>
          <w:sz w:val="32"/>
          <w:szCs w:val="32"/>
          <w:highlight w:val="none"/>
          <w:lang w:val="en-US" w:eastAsia="zh-CN" w:bidi="ar-SA"/>
        </w:rPr>
        <w:t>来看</w:t>
      </w:r>
      <w:r>
        <w:rPr>
          <w:rFonts w:hint="default" w:ascii="仿宋_GB2312" w:hAnsi="仿宋_GB2312" w:eastAsia="仿宋_GB2312" w:cs="仿宋_GB2312"/>
          <w:b w:val="0"/>
          <w:bCs w:val="0"/>
          <w:color w:val="auto"/>
          <w:kern w:val="2"/>
          <w:sz w:val="32"/>
          <w:szCs w:val="32"/>
          <w:highlight w:val="none"/>
          <w:lang w:val="en-US" w:eastAsia="zh-CN" w:bidi="ar-SA"/>
        </w:rPr>
        <w:t>，8</w:t>
      </w:r>
      <w:r>
        <w:rPr>
          <w:rFonts w:hint="eastAsia" w:ascii="仿宋_GB2312" w:hAnsi="仿宋_GB2312" w:eastAsia="仿宋_GB2312" w:cs="仿宋_GB2312"/>
          <w:b w:val="0"/>
          <w:bCs w:val="0"/>
          <w:color w:val="auto"/>
          <w:kern w:val="2"/>
          <w:sz w:val="32"/>
          <w:szCs w:val="32"/>
          <w:highlight w:val="none"/>
          <w:lang w:val="en-US" w:eastAsia="zh-CN" w:bidi="ar-SA"/>
        </w:rPr>
        <w:t>7.9</w:t>
      </w:r>
      <w:r>
        <w:rPr>
          <w:rFonts w:hint="default" w:ascii="仿宋_GB2312" w:hAnsi="仿宋_GB2312" w:eastAsia="仿宋_GB2312" w:cs="仿宋_GB2312"/>
          <w:b w:val="0"/>
          <w:bCs w:val="0"/>
          <w:color w:val="auto"/>
          <w:kern w:val="2"/>
          <w:sz w:val="32"/>
          <w:szCs w:val="32"/>
          <w:highlight w:val="none"/>
          <w:lang w:val="en-US" w:eastAsia="zh-CN" w:bidi="ar-SA"/>
        </w:rPr>
        <w:t>%受访居民</w:t>
      </w:r>
      <w:r>
        <w:rPr>
          <w:rFonts w:hint="eastAsia" w:ascii="仿宋_GB2312" w:hAnsi="仿宋_GB2312" w:eastAsia="仿宋_GB2312" w:cs="仿宋_GB2312"/>
          <w:b w:val="0"/>
          <w:bCs w:val="0"/>
          <w:color w:val="auto"/>
          <w:kern w:val="2"/>
          <w:sz w:val="32"/>
          <w:szCs w:val="32"/>
          <w:highlight w:val="none"/>
          <w:lang w:val="en-US" w:eastAsia="zh-CN" w:bidi="ar-SA"/>
        </w:rPr>
        <w:t>认为当前已实施的城市更新项目具有必要性</w:t>
      </w:r>
      <w:r>
        <w:rPr>
          <w:rFonts w:hint="default" w:ascii="仿宋_GB2312" w:hAnsi="仿宋_GB2312" w:eastAsia="仿宋_GB2312" w:cs="仿宋_GB2312"/>
          <w:color w:val="auto"/>
          <w:kern w:val="2"/>
          <w:sz w:val="32"/>
          <w:szCs w:val="32"/>
          <w:highlight w:val="none"/>
          <w:lang w:val="en-US" w:eastAsia="zh-CN" w:bidi="ar-SA"/>
        </w:rPr>
        <w:t>，</w:t>
      </w:r>
      <w:r>
        <w:rPr>
          <w:rFonts w:hint="eastAsia" w:ascii="仿宋_GB2312" w:hAnsi="仿宋_GB2312" w:eastAsia="仿宋_GB2312" w:cs="仿宋_GB2312"/>
          <w:color w:val="auto"/>
          <w:kern w:val="2"/>
          <w:sz w:val="32"/>
          <w:szCs w:val="32"/>
          <w:highlight w:val="none"/>
          <w:lang w:val="en-US" w:eastAsia="zh-CN" w:bidi="ar-SA"/>
        </w:rPr>
        <w:t>10.3</w:t>
      </w:r>
      <w:r>
        <w:rPr>
          <w:rFonts w:hint="default" w:ascii="仿宋_GB2312" w:hAnsi="仿宋_GB2312" w:eastAsia="仿宋_GB2312" w:cs="仿宋_GB2312"/>
          <w:color w:val="auto"/>
          <w:kern w:val="2"/>
          <w:sz w:val="32"/>
          <w:szCs w:val="32"/>
          <w:highlight w:val="none"/>
          <w:lang w:val="en-US" w:eastAsia="zh-CN" w:bidi="ar-SA"/>
        </w:rPr>
        <w:t>%受访居民表示不知道，</w:t>
      </w:r>
      <w:r>
        <w:rPr>
          <w:rFonts w:hint="eastAsia" w:ascii="仿宋_GB2312" w:hAnsi="仿宋_GB2312" w:eastAsia="仿宋_GB2312" w:cs="仿宋_GB2312"/>
          <w:color w:val="auto"/>
          <w:kern w:val="2"/>
          <w:sz w:val="32"/>
          <w:szCs w:val="32"/>
          <w:highlight w:val="none"/>
          <w:lang w:val="en-US" w:eastAsia="zh-CN" w:bidi="ar-SA"/>
        </w:rPr>
        <w:t>1.8</w:t>
      </w:r>
      <w:r>
        <w:rPr>
          <w:rFonts w:hint="default" w:ascii="仿宋_GB2312" w:hAnsi="仿宋_GB2312" w:eastAsia="仿宋_GB2312" w:cs="仿宋_GB2312"/>
          <w:color w:val="auto"/>
          <w:kern w:val="2"/>
          <w:sz w:val="32"/>
          <w:szCs w:val="32"/>
          <w:highlight w:val="none"/>
          <w:lang w:val="en-US" w:eastAsia="zh-CN" w:bidi="ar-SA"/>
        </w:rPr>
        <w:t>%受访居民不认可</w:t>
      </w:r>
      <w:r>
        <w:rPr>
          <w:rFonts w:hint="eastAsia" w:ascii="仿宋_GB2312" w:hAnsi="仿宋_GB2312" w:eastAsia="仿宋_GB2312" w:cs="仿宋_GB2312"/>
          <w:color w:val="auto"/>
          <w:kern w:val="2"/>
          <w:sz w:val="32"/>
          <w:szCs w:val="32"/>
          <w:highlight w:val="none"/>
          <w:lang w:val="en-US" w:eastAsia="zh-CN" w:bidi="ar-SA"/>
        </w:rPr>
        <w:t>，总体认可度较高。</w:t>
      </w:r>
    </w:p>
    <w:p>
      <w:pPr>
        <w:keepNext w:val="0"/>
        <w:keepLines w:val="0"/>
        <w:pageBreakBefore w:val="0"/>
        <w:widowControl w:val="0"/>
        <w:numPr>
          <w:ilvl w:val="0"/>
          <w:numId w:val="7"/>
        </w:numPr>
        <w:kinsoku/>
        <w:wordWrap/>
        <w:overflowPunct/>
        <w:autoSpaceDE/>
        <w:autoSpaceDN/>
        <w:bidi w:val="0"/>
        <w:adjustRightInd/>
        <w:snapToGrid/>
        <w:spacing w:line="560" w:lineRule="exact"/>
        <w:ind w:left="0" w:leftChars="0" w:firstLine="642" w:firstLineChars="200"/>
        <w:jc w:val="both"/>
        <w:textAlignment w:val="auto"/>
        <w:rPr>
          <w:rFonts w:hint="default" w:ascii="仿宋_GB2312" w:hAnsi="仿宋_GB2312" w:eastAsia="仿宋_GB2312" w:cs="仿宋_GB2312"/>
          <w:b/>
          <w:bCs/>
          <w:color w:val="auto"/>
          <w:kern w:val="2"/>
          <w:sz w:val="32"/>
          <w:szCs w:val="32"/>
          <w:highlight w:val="none"/>
          <w:lang w:val="en-US" w:eastAsia="zh-CN" w:bidi="ar-SA"/>
        </w:rPr>
      </w:pPr>
      <w:r>
        <w:rPr>
          <w:rFonts w:hint="default" w:ascii="仿宋_GB2312" w:hAnsi="仿宋_GB2312" w:eastAsia="仿宋_GB2312" w:cs="仿宋_GB2312"/>
          <w:b/>
          <w:bCs/>
          <w:color w:val="auto"/>
          <w:kern w:val="2"/>
          <w:sz w:val="32"/>
          <w:szCs w:val="32"/>
          <w:highlight w:val="none"/>
          <w:lang w:val="en-US" w:eastAsia="zh-CN" w:bidi="ar-SA"/>
        </w:rPr>
        <w:t>关于实施更新的区域在住房条件、交通设施、公共服务、市容环境等方面</w:t>
      </w:r>
      <w:r>
        <w:rPr>
          <w:rFonts w:hint="eastAsia" w:ascii="仿宋_GB2312" w:hAnsi="仿宋_GB2312" w:eastAsia="仿宋_GB2312" w:cs="仿宋_GB2312"/>
          <w:b/>
          <w:bCs/>
          <w:color w:val="auto"/>
          <w:kern w:val="2"/>
          <w:sz w:val="32"/>
          <w:szCs w:val="32"/>
          <w:highlight w:val="none"/>
          <w:lang w:val="en-US" w:eastAsia="zh-CN" w:bidi="ar-SA"/>
        </w:rPr>
        <w:t>的效果评价</w:t>
      </w:r>
    </w:p>
    <w:p>
      <w:pPr>
        <w:keepNext w:val="0"/>
        <w:keepLines w:val="0"/>
        <w:pageBreakBefore w:val="0"/>
        <w:widowControl w:val="0"/>
        <w:numPr>
          <w:ilvl w:val="0"/>
          <w:numId w:val="0"/>
        </w:numPr>
        <w:kinsoku/>
        <w:wordWrap/>
        <w:overflow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kern w:val="2"/>
          <w:sz w:val="32"/>
          <w:szCs w:val="32"/>
          <w:highlight w:val="none"/>
          <w:lang w:val="en-US" w:eastAsia="zh-CN" w:bidi="ar-SA"/>
        </w:rPr>
        <w:t>45.4</w:t>
      </w:r>
      <w:r>
        <w:rPr>
          <w:rFonts w:hint="default" w:ascii="仿宋_GB2312" w:hAnsi="仿宋_GB2312" w:eastAsia="仿宋_GB2312" w:cs="仿宋_GB2312"/>
          <w:color w:val="auto"/>
          <w:kern w:val="2"/>
          <w:sz w:val="32"/>
          <w:szCs w:val="32"/>
          <w:highlight w:val="none"/>
          <w:lang w:val="en-US" w:eastAsia="zh-CN" w:bidi="ar-SA"/>
        </w:rPr>
        <w:t>%受访居民实施更新的区域</w:t>
      </w:r>
      <w:r>
        <w:rPr>
          <w:rFonts w:hint="eastAsia" w:ascii="仿宋_GB2312" w:hAnsi="仿宋_GB2312" w:eastAsia="仿宋_GB2312" w:cs="仿宋_GB2312"/>
          <w:color w:val="auto"/>
          <w:kern w:val="2"/>
          <w:sz w:val="32"/>
          <w:szCs w:val="32"/>
          <w:highlight w:val="none"/>
          <w:lang w:val="en-US" w:eastAsia="zh-CN" w:bidi="ar-SA"/>
        </w:rPr>
        <w:t>效果显著</w:t>
      </w:r>
      <w:r>
        <w:rPr>
          <w:rFonts w:hint="default" w:ascii="仿宋_GB2312" w:hAnsi="仿宋_GB2312" w:eastAsia="仿宋_GB2312" w:cs="仿宋_GB2312"/>
          <w:color w:val="auto"/>
          <w:kern w:val="2"/>
          <w:sz w:val="32"/>
          <w:szCs w:val="32"/>
          <w:highlight w:val="none"/>
          <w:lang w:val="en-US" w:eastAsia="zh-CN" w:bidi="ar-SA"/>
        </w:rPr>
        <w:t>，</w:t>
      </w:r>
      <w:r>
        <w:rPr>
          <w:rFonts w:hint="eastAsia" w:ascii="仿宋_GB2312" w:hAnsi="仿宋_GB2312" w:eastAsia="仿宋_GB2312" w:cs="仿宋_GB2312"/>
          <w:color w:val="auto"/>
          <w:kern w:val="2"/>
          <w:sz w:val="32"/>
          <w:szCs w:val="32"/>
          <w:highlight w:val="none"/>
          <w:lang w:val="en-US" w:eastAsia="zh-CN" w:bidi="ar-SA"/>
        </w:rPr>
        <w:t>42.6</w:t>
      </w:r>
      <w:r>
        <w:rPr>
          <w:rFonts w:hint="default" w:ascii="仿宋_GB2312" w:hAnsi="仿宋_GB2312" w:eastAsia="仿宋_GB2312" w:cs="仿宋_GB2312"/>
          <w:color w:val="auto"/>
          <w:kern w:val="2"/>
          <w:sz w:val="32"/>
          <w:szCs w:val="32"/>
          <w:highlight w:val="none"/>
          <w:lang w:val="en-US" w:eastAsia="zh-CN" w:bidi="ar-SA"/>
        </w:rPr>
        <w:t>%受访居民表示</w:t>
      </w:r>
      <w:r>
        <w:rPr>
          <w:rFonts w:hint="eastAsia" w:ascii="仿宋_GB2312" w:hAnsi="仿宋_GB2312" w:eastAsia="仿宋_GB2312" w:cs="仿宋_GB2312"/>
          <w:color w:val="auto"/>
          <w:kern w:val="2"/>
          <w:sz w:val="32"/>
          <w:szCs w:val="32"/>
          <w:highlight w:val="none"/>
          <w:lang w:val="en-US" w:eastAsia="zh-CN" w:bidi="ar-SA"/>
        </w:rPr>
        <w:t>有改善</w:t>
      </w:r>
      <w:r>
        <w:rPr>
          <w:rFonts w:hint="default" w:ascii="仿宋_GB2312" w:hAnsi="仿宋_GB2312" w:eastAsia="仿宋_GB2312" w:cs="仿宋_GB2312"/>
          <w:color w:val="auto"/>
          <w:kern w:val="2"/>
          <w:sz w:val="32"/>
          <w:szCs w:val="32"/>
          <w:highlight w:val="none"/>
          <w:lang w:val="en-US" w:eastAsia="zh-CN" w:bidi="ar-SA"/>
        </w:rPr>
        <w:t>，</w:t>
      </w:r>
      <w:r>
        <w:rPr>
          <w:rFonts w:hint="eastAsia" w:ascii="仿宋_GB2312" w:hAnsi="仿宋_GB2312" w:eastAsia="仿宋_GB2312" w:cs="仿宋_GB2312"/>
          <w:color w:val="auto"/>
          <w:kern w:val="2"/>
          <w:sz w:val="32"/>
          <w:szCs w:val="32"/>
          <w:highlight w:val="none"/>
          <w:lang w:val="en-US" w:eastAsia="zh-CN" w:bidi="ar-SA"/>
        </w:rPr>
        <w:t>11</w:t>
      </w:r>
      <w:r>
        <w:rPr>
          <w:rFonts w:hint="default" w:ascii="仿宋_GB2312" w:hAnsi="仿宋_GB2312" w:eastAsia="仿宋_GB2312" w:cs="仿宋_GB2312"/>
          <w:color w:val="auto"/>
          <w:kern w:val="2"/>
          <w:sz w:val="32"/>
          <w:szCs w:val="32"/>
          <w:highlight w:val="none"/>
          <w:lang w:val="en-US" w:eastAsia="zh-CN" w:bidi="ar-SA"/>
        </w:rPr>
        <w:t>%受访居民</w:t>
      </w:r>
      <w:r>
        <w:rPr>
          <w:rFonts w:hint="eastAsia" w:ascii="仿宋_GB2312" w:hAnsi="仿宋_GB2312" w:eastAsia="仿宋_GB2312" w:cs="仿宋_GB2312"/>
          <w:color w:val="auto"/>
          <w:kern w:val="2"/>
          <w:sz w:val="32"/>
          <w:szCs w:val="32"/>
          <w:highlight w:val="none"/>
          <w:lang w:val="en-US" w:eastAsia="zh-CN" w:bidi="ar-SA"/>
        </w:rPr>
        <w:t>认为改善不明显，1.1%的受访居民认为没有改善，总体来看，实施更新区域效果评价较高。</w:t>
      </w:r>
    </w:p>
    <w:p>
      <w:pPr>
        <w:keepNext w:val="0"/>
        <w:keepLines w:val="0"/>
        <w:pageBreakBefore w:val="0"/>
        <w:widowControl w:val="0"/>
        <w:numPr>
          <w:ilvl w:val="0"/>
          <w:numId w:val="7"/>
        </w:numPr>
        <w:kinsoku/>
        <w:wordWrap/>
        <w:overflowPunct/>
        <w:autoSpaceDE/>
        <w:autoSpaceDN/>
        <w:bidi w:val="0"/>
        <w:adjustRightInd/>
        <w:snapToGrid/>
        <w:spacing w:line="560" w:lineRule="exact"/>
        <w:ind w:left="0" w:leftChars="0" w:firstLine="642" w:firstLineChars="200"/>
        <w:jc w:val="both"/>
        <w:textAlignment w:val="auto"/>
        <w:rPr>
          <w:rFonts w:hint="default" w:ascii="仿宋_GB2312" w:hAnsi="仿宋_GB2312" w:eastAsia="仿宋_GB2312" w:cs="仿宋_GB2312"/>
          <w:b/>
          <w:bCs/>
          <w:color w:val="auto"/>
          <w:kern w:val="2"/>
          <w:sz w:val="32"/>
          <w:szCs w:val="32"/>
          <w:highlight w:val="none"/>
          <w:lang w:val="en-US" w:eastAsia="zh-CN" w:bidi="ar-SA"/>
        </w:rPr>
      </w:pPr>
      <w:r>
        <w:rPr>
          <w:rFonts w:hint="eastAsia" w:ascii="仿宋_GB2312" w:hAnsi="仿宋_GB2312" w:eastAsia="仿宋_GB2312" w:cs="仿宋_GB2312"/>
          <w:b/>
          <w:bCs/>
          <w:color w:val="auto"/>
          <w:kern w:val="2"/>
          <w:sz w:val="32"/>
          <w:szCs w:val="32"/>
          <w:highlight w:val="none"/>
          <w:lang w:val="en-US" w:eastAsia="zh-CN" w:bidi="ar-SA"/>
        </w:rPr>
        <w:t>对</w:t>
      </w:r>
      <w:r>
        <w:rPr>
          <w:rFonts w:hint="default" w:ascii="仿宋_GB2312" w:hAnsi="仿宋_GB2312" w:eastAsia="仿宋_GB2312" w:cs="仿宋_GB2312"/>
          <w:b/>
          <w:bCs/>
          <w:color w:val="auto"/>
          <w:kern w:val="2"/>
          <w:sz w:val="32"/>
          <w:szCs w:val="32"/>
          <w:highlight w:val="none"/>
          <w:lang w:val="en-US" w:eastAsia="zh-CN" w:bidi="ar-SA"/>
        </w:rPr>
        <w:t>下一阶段淮北市城市更新工作</w:t>
      </w:r>
      <w:r>
        <w:rPr>
          <w:rFonts w:hint="eastAsia" w:ascii="仿宋_GB2312" w:hAnsi="仿宋_GB2312" w:eastAsia="仿宋_GB2312" w:cs="仿宋_GB2312"/>
          <w:b/>
          <w:bCs/>
          <w:color w:val="auto"/>
          <w:kern w:val="2"/>
          <w:sz w:val="32"/>
          <w:szCs w:val="32"/>
          <w:highlight w:val="none"/>
          <w:lang w:val="en-US" w:eastAsia="zh-CN" w:bidi="ar-SA"/>
        </w:rPr>
        <w:t>的期待（多选）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Chars="0" w:firstLine="640" w:firstLineChars="200"/>
        <w:jc w:val="both"/>
        <w:textAlignment w:val="auto"/>
        <w:rPr>
          <w:rFonts w:hint="eastAsia" w:ascii="仿宋_GB2312" w:hAnsi="仿宋_GB2312" w:eastAsia="仿宋_GB2312" w:cs="仿宋_GB2312"/>
          <w:color w:val="auto"/>
          <w:kern w:val="2"/>
          <w:sz w:val="32"/>
          <w:szCs w:val="32"/>
          <w:highlight w:val="none"/>
          <w:lang w:val="en-US" w:eastAsia="zh-CN" w:bidi="ar-SA"/>
        </w:rPr>
      </w:pPr>
      <w:r>
        <w:rPr>
          <w:rFonts w:hint="default" w:ascii="仿宋_GB2312" w:hAnsi="仿宋_GB2312" w:eastAsia="仿宋_GB2312" w:cs="仿宋_GB2312"/>
          <w:color w:val="auto"/>
          <w:kern w:val="2"/>
          <w:sz w:val="32"/>
          <w:szCs w:val="32"/>
          <w:highlight w:val="none"/>
          <w:lang w:val="en-US" w:eastAsia="zh-CN" w:bidi="ar-SA"/>
        </w:rPr>
        <w:t>总体来看，</w:t>
      </w:r>
      <w:r>
        <w:rPr>
          <w:rFonts w:hint="eastAsia" w:ascii="仿宋_GB2312" w:hAnsi="仿宋_GB2312" w:eastAsia="仿宋_GB2312" w:cs="仿宋_GB2312"/>
          <w:color w:val="auto"/>
          <w:kern w:val="2"/>
          <w:sz w:val="32"/>
          <w:szCs w:val="32"/>
          <w:highlight w:val="none"/>
          <w:lang w:val="en-US" w:eastAsia="zh-CN" w:bidi="ar-SA"/>
        </w:rPr>
        <w:t>受访居民认为需要在以下方面进一步提升城市更新工作（选择比例均超过50%）：完善文体、医疗功能，加强监督管理，加大政策、资金支持力度，加大公众参与力度，提升市政基础设施等。</w:t>
      </w:r>
    </w:p>
    <w:p>
      <w:pPr>
        <w:widowControl w:val="0"/>
        <w:wordWrap/>
        <w:topLinePunct/>
        <w:bidi w:val="0"/>
        <w:spacing w:line="360" w:lineRule="auto"/>
        <w:ind w:left="0" w:leftChars="0" w:firstLine="0" w:firstLineChars="0"/>
        <w:jc w:val="center"/>
        <w:rPr>
          <w:rFonts w:hint="default" w:ascii="仿宋_GB2312" w:hAnsi="仿宋_GB2312" w:eastAsia="仿宋_GB2312" w:cs="仿宋_GB2312"/>
          <w:b/>
          <w:bCs/>
          <w:color w:val="auto"/>
          <w:kern w:val="0"/>
          <w:sz w:val="21"/>
          <w:szCs w:val="21"/>
          <w:highlight w:val="none"/>
          <w:lang w:val="en-US" w:eastAsia="zh-CN" w:bidi="ar-SA"/>
        </w:rPr>
      </w:pPr>
      <w:r>
        <w:rPr>
          <w:rFonts w:hint="eastAsia" w:ascii="Times New Roman" w:hAnsi="Times New Roman" w:eastAsia="宋体" w:cs="Times New Roman"/>
          <w:color w:val="auto"/>
          <w:kern w:val="0"/>
          <w:sz w:val="24"/>
          <w:szCs w:val="24"/>
          <w:lang w:val="en-US" w:eastAsia="zh-CN" w:bidi="ar-SA"/>
        </w:rPr>
        <w:drawing>
          <wp:inline distT="0" distB="0" distL="114300" distR="114300">
            <wp:extent cx="4907915" cy="2790190"/>
            <wp:effectExtent l="0" t="0" r="6985" b="1016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keepNext w:val="0"/>
        <w:keepLines w:val="0"/>
        <w:pageBreakBefore w:val="0"/>
        <w:widowControl w:val="0"/>
        <w:numPr>
          <w:ilvl w:val="0"/>
          <w:numId w:val="7"/>
        </w:numPr>
        <w:kinsoku/>
        <w:wordWrap/>
        <w:overflowPunct/>
        <w:topLinePunct/>
        <w:autoSpaceDE/>
        <w:autoSpaceDN/>
        <w:bidi w:val="0"/>
        <w:adjustRightInd/>
        <w:snapToGrid/>
        <w:spacing w:line="560" w:lineRule="exact"/>
        <w:ind w:left="0" w:leftChars="0" w:firstLine="642" w:firstLineChars="200"/>
        <w:jc w:val="both"/>
        <w:textAlignment w:val="auto"/>
        <w:rPr>
          <w:rFonts w:hint="eastAsia"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关于</w:t>
      </w:r>
      <w:r>
        <w:rPr>
          <w:rFonts w:hint="eastAsia" w:ascii="仿宋_GB2312" w:hAnsi="仿宋_GB2312" w:eastAsia="仿宋_GB2312" w:cs="仿宋_GB2312"/>
          <w:b/>
          <w:bCs/>
          <w:color w:val="auto"/>
          <w:kern w:val="0"/>
          <w:sz w:val="32"/>
          <w:szCs w:val="32"/>
          <w:highlight w:val="none"/>
          <w:lang w:val="en-US" w:eastAsia="zh-CN" w:bidi="ar-SA"/>
        </w:rPr>
        <w:t>《暂行办法》</w:t>
      </w:r>
      <w:r>
        <w:rPr>
          <w:rFonts w:hint="default" w:ascii="仿宋_GB2312" w:hAnsi="仿宋_GB2312" w:eastAsia="仿宋_GB2312" w:cs="仿宋_GB2312"/>
          <w:b/>
          <w:bCs/>
          <w:color w:val="auto"/>
          <w:kern w:val="0"/>
          <w:sz w:val="32"/>
          <w:szCs w:val="32"/>
          <w:highlight w:val="none"/>
          <w:lang w:val="en-US" w:eastAsia="zh-CN" w:bidi="ar-SA"/>
        </w:rPr>
        <w:t>是否能够维护利益各方合法权益</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总体来看，82.3%受访居民认为《暂行办法》有助于维护城市更新工作各方合法权益，16%表示不知道，1.8%意见相反。</w:t>
      </w:r>
    </w:p>
    <w:p>
      <w:pPr>
        <w:keepNext w:val="0"/>
        <w:keepLines w:val="0"/>
        <w:pageBreakBefore w:val="0"/>
        <w:widowControl w:val="0"/>
        <w:numPr>
          <w:ilvl w:val="0"/>
          <w:numId w:val="7"/>
        </w:numPr>
        <w:kinsoku/>
        <w:wordWrap/>
        <w:overflowPunct/>
        <w:topLinePunct/>
        <w:autoSpaceDE/>
        <w:autoSpaceDN/>
        <w:bidi w:val="0"/>
        <w:adjustRightInd/>
        <w:snapToGrid/>
        <w:spacing w:line="560" w:lineRule="exact"/>
        <w:ind w:left="0" w:leftChars="0" w:firstLine="642" w:firstLineChars="200"/>
        <w:jc w:val="both"/>
        <w:textAlignment w:val="auto"/>
        <w:rPr>
          <w:rFonts w:hint="eastAsia"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关于对《暂行办法》实施效果的满意度</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leftChars="0" w:firstLine="640" w:firstLineChars="200"/>
        <w:jc w:val="both"/>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总体上，60.6%受访居民对《暂行办法》实施效果满意，34.8%基本满意，4.6%不满意。对实施效果不满意的受访者意见有健康医疗方面体验不好，有些需要规划整改的居住区提及多年仍未动工等。</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仿宋_GB2312" w:hAnsi="仿宋_GB2312" w:eastAsia="仿宋_GB2312" w:cs="仿宋_GB2312"/>
          <w:b/>
          <w:color w:val="auto"/>
          <w:kern w:val="2"/>
          <w:sz w:val="24"/>
          <w:szCs w:val="24"/>
          <w:highlight w:val="none"/>
          <w:lang w:val="en-US" w:eastAsia="zh-CN" w:bidi="ar-SA"/>
        </w:rPr>
      </w:pPr>
      <w:r>
        <w:rPr>
          <w:rFonts w:hint="eastAsia" w:ascii="仿宋_GB2312" w:hAnsi="仿宋_GB2312" w:eastAsia="仿宋_GB2312" w:cs="仿宋_GB2312"/>
          <w:b/>
          <w:color w:val="auto"/>
          <w:kern w:val="2"/>
          <w:sz w:val="24"/>
          <w:szCs w:val="24"/>
          <w:highlight w:val="none"/>
          <w:lang w:val="en-US" w:eastAsia="zh-CN" w:bidi="ar-SA"/>
        </w:rPr>
        <w:drawing>
          <wp:anchor distT="0" distB="0" distL="114300" distR="114300" simplePos="0" relativeHeight="251660288" behindDoc="0" locked="0" layoutInCell="1" allowOverlap="1">
            <wp:simplePos x="0" y="0"/>
            <wp:positionH relativeFrom="column">
              <wp:posOffset>1160145</wp:posOffset>
            </wp:positionH>
            <wp:positionV relativeFrom="paragraph">
              <wp:posOffset>60960</wp:posOffset>
            </wp:positionV>
            <wp:extent cx="3314065" cy="2358390"/>
            <wp:effectExtent l="0" t="0" r="635" b="3810"/>
            <wp:wrapTopAndBottom/>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Pr>
          <w:rFonts w:hint="eastAsia" w:ascii="仿宋_GB2312" w:hAnsi="仿宋_GB2312" w:eastAsia="仿宋_GB2312" w:cs="仿宋_GB2312"/>
          <w:b/>
          <w:color w:val="auto"/>
          <w:kern w:val="2"/>
          <w:sz w:val="24"/>
          <w:szCs w:val="24"/>
          <w:highlight w:val="none"/>
          <w:lang w:val="en-US" w:eastAsia="zh-CN" w:bidi="ar-SA"/>
        </w:rPr>
        <w:t>《暂行办法》实施效果满意度</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32"/>
          <w:szCs w:val="32"/>
          <w:highlight w:val="none"/>
          <w:lang w:val="en-US" w:eastAsia="zh-CN"/>
        </w:rPr>
        <w:t>在调查问卷开放性问题（第10题·您对《暂行办法》有何意见、建议？）中，调查对象自由表达了大量意见和建议，</w:t>
      </w:r>
      <w:r>
        <w:rPr>
          <w:rFonts w:hint="eastAsia" w:ascii="仿宋_GB2312" w:hAnsi="仿宋_GB2312" w:eastAsia="仿宋_GB2312" w:cs="仿宋_GB2312"/>
          <w:color w:val="auto"/>
          <w:kern w:val="0"/>
          <w:sz w:val="32"/>
          <w:szCs w:val="32"/>
          <w:highlight w:val="none"/>
          <w:lang w:val="en-US" w:eastAsia="zh-CN" w:bidi="ar-SA"/>
        </w:rPr>
        <w:t>其中一位网名为“子*鱼”的受访者通过网络问卷针对棋牌摊点扰民等问题提出了完善公众反馈机制、明确部门职责分工、强化监督考核机制、加强宣传教育引导等方面的意见建议，具体如下：</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希望保障居民居住环境健康，有利于居民和谐共生。</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1.补充扰民治理条款：在《暂行办法》中新增关于小区内公共区域环境治理的相关内容，明确指出对于居民楼旁开办棋牌摊点等聚众打牌扰民行为的治理，是城市更新工作的一部分。规定具体的整治目标，如降低噪音对居民生活的影响，保障居民正常的休息和生活秩序。</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完善公众反馈机制：优化公众参与城市更新的途径，专门针对小区内扰民问题设立便捷的反馈渠道，比如开设线上举报平台、投诉热线等。确保居民在发现类似居民楼旁棋牌摊点扰民情况时，能够及时、有效地反映问题，并要求相关部门在规定时间内给予回应和处理。</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3.明确部门职责分工：清晰界定公安、城管、环保、社区等相关部门在处理小区内棋牌摊点扰民问题上的具体职责。例如，公安部门负责处理因打牌引发的治安纠纷和赌博行为；城管部门对违规占用公共区域摆摊设点的行为进行管理和取缔；环保部门负责监测和处理打牌产生的噪音污染问题；社区则协助相关部门做好沟通协调和宣传引导工作，避免出现职责不清、互相推诿的现象。</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4.强化监督考核机制：建立健全对城市更新工作中扰民问题治理的监督考核制度，将小区内棋牌摊点扰民问题的解决情况纳入对相关部门和工作人员的考核指标体系。通过定期检查、不定期抽查以及居民满意度调查等方式，对治理效果进行评估，对工作不力、未能有效解决问题的部门和个人进行问责。</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5.规划娱乐活动场所：在城市更新规划中，充分考虑居民的休闲娱乐需求，合理规划建设专门的娱乐活动场所，如社区活动中心、老年活动室等。为居民提供合法、规范的棋牌等娱乐活动空间，并制定相应的管理制度，明确活动时间和噪音控制标准，引导居民在合适的场所进行娱乐活动，减少对周边居民的干扰。</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6.加强宣传教育引导：通过社区公告、宣传手册、公益广告等多种形式，加强对居民的宣传教育，倡导文明、和谐的社区生活方式。提高居民对在居民楼旁开办棋牌摊点扰民行为的认识，增强居民的公德意识和自律意识，引导居民自觉遵守相关规定，共同维护小区的良好环境和秩序。</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其他受访者的意见建议梳理归纳如下：</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一、关于老旧小区改造</w:t>
      </w:r>
    </w:p>
    <w:p>
      <w:pPr>
        <w:keepNext w:val="0"/>
        <w:keepLines w:val="0"/>
        <w:pageBreakBefore w:val="0"/>
        <w:widowControl w:val="0"/>
        <w:numPr>
          <w:ilvl w:val="0"/>
          <w:numId w:val="8"/>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路南村改造少，漏水严重，外墙渗水严重，墙也没粉刷。</w:t>
      </w:r>
    </w:p>
    <w:p>
      <w:pPr>
        <w:keepNext w:val="0"/>
        <w:keepLines w:val="0"/>
        <w:pageBreakBefore w:val="0"/>
        <w:widowControl w:val="0"/>
        <w:numPr>
          <w:ilvl w:val="0"/>
          <w:numId w:val="8"/>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建议增加电动汽车充电桩。</w:t>
      </w:r>
    </w:p>
    <w:p>
      <w:pPr>
        <w:keepNext w:val="0"/>
        <w:keepLines w:val="0"/>
        <w:pageBreakBefore w:val="0"/>
        <w:widowControl w:val="0"/>
        <w:numPr>
          <w:ilvl w:val="0"/>
          <w:numId w:val="8"/>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没人问，老旧小区房屋需要修缮。</w:t>
      </w:r>
    </w:p>
    <w:p>
      <w:pPr>
        <w:keepNext w:val="0"/>
        <w:keepLines w:val="0"/>
        <w:pageBreakBefore w:val="0"/>
        <w:widowControl w:val="0"/>
        <w:numPr>
          <w:ilvl w:val="0"/>
          <w:numId w:val="8"/>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老旧小区老年人多，不理解加装电梯，社区应积极推广宣传。</w:t>
      </w:r>
    </w:p>
    <w:p>
      <w:pPr>
        <w:keepNext w:val="0"/>
        <w:keepLines w:val="0"/>
        <w:pageBreakBefore w:val="0"/>
        <w:widowControl w:val="0"/>
        <w:numPr>
          <w:ilvl w:val="0"/>
          <w:numId w:val="8"/>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由于资金不到位，有些社区的老年活动中心处于关门状况，老年人的活动有些影响。</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二、关于施工质量</w:t>
      </w:r>
    </w:p>
    <w:p>
      <w:pPr>
        <w:keepNext w:val="0"/>
        <w:keepLines w:val="0"/>
        <w:pageBreakBefore w:val="0"/>
        <w:widowControl w:val="0"/>
        <w:numPr>
          <w:ilvl w:val="0"/>
          <w:numId w:val="9"/>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施工队有的施工质量不佳。</w:t>
      </w:r>
    </w:p>
    <w:p>
      <w:pPr>
        <w:keepNext w:val="0"/>
        <w:keepLines w:val="0"/>
        <w:pageBreakBefore w:val="0"/>
        <w:widowControl w:val="0"/>
        <w:numPr>
          <w:ilvl w:val="0"/>
          <w:numId w:val="9"/>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希望移交时楼顶恢复原样。</w:t>
      </w:r>
    </w:p>
    <w:p>
      <w:pPr>
        <w:keepNext w:val="0"/>
        <w:keepLines w:val="0"/>
        <w:pageBreakBefore w:val="0"/>
        <w:widowControl w:val="0"/>
        <w:numPr>
          <w:ilvl w:val="0"/>
          <w:numId w:val="9"/>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加强施工的质量的监管。</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三、关于公众参与</w:t>
      </w:r>
    </w:p>
    <w:p>
      <w:pPr>
        <w:keepNext w:val="0"/>
        <w:keepLines w:val="0"/>
        <w:pageBreakBefore w:val="0"/>
        <w:widowControl w:val="0"/>
        <w:numPr>
          <w:ilvl w:val="0"/>
          <w:numId w:val="1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居民提出的意见并没有纳入计划当中。</w:t>
      </w:r>
    </w:p>
    <w:p>
      <w:pPr>
        <w:keepNext w:val="0"/>
        <w:keepLines w:val="0"/>
        <w:pageBreakBefore w:val="0"/>
        <w:widowControl w:val="0"/>
        <w:numPr>
          <w:ilvl w:val="0"/>
          <w:numId w:val="1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加大投资力度，积极调动群众参与的力度。</w:t>
      </w:r>
    </w:p>
    <w:p>
      <w:pPr>
        <w:keepNext w:val="0"/>
        <w:keepLines w:val="0"/>
        <w:pageBreakBefore w:val="0"/>
        <w:widowControl w:val="0"/>
        <w:numPr>
          <w:ilvl w:val="0"/>
          <w:numId w:val="1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希望相关领导能够深入百姓中间，了解百姓的民生问题，切勿走马观花。</w:t>
      </w:r>
    </w:p>
    <w:p>
      <w:pPr>
        <w:keepNext w:val="0"/>
        <w:keepLines w:val="0"/>
        <w:pageBreakBefore w:val="0"/>
        <w:widowControl w:val="0"/>
        <w:numPr>
          <w:ilvl w:val="0"/>
          <w:numId w:val="10"/>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请有关部门和领导在制定规划和建设前能放下架子多走走群众中来听听群众的意见。</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四、关于交通出行</w:t>
      </w:r>
    </w:p>
    <w:p>
      <w:pPr>
        <w:keepNext w:val="0"/>
        <w:keepLines w:val="0"/>
        <w:pageBreakBefore w:val="0"/>
        <w:widowControl w:val="0"/>
        <w:numPr>
          <w:ilvl w:val="0"/>
          <w:numId w:val="11"/>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万家汇路口由南向北逆行太多，每天早上从那过总觉得我在逆行，希望能做出改善。</w:t>
      </w:r>
    </w:p>
    <w:p>
      <w:pPr>
        <w:keepNext w:val="0"/>
        <w:keepLines w:val="0"/>
        <w:pageBreakBefore w:val="0"/>
        <w:widowControl w:val="0"/>
        <w:numPr>
          <w:ilvl w:val="0"/>
          <w:numId w:val="11"/>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非机动车道让机动车占用，交通占道问题未解决。</w:t>
      </w:r>
    </w:p>
    <w:p>
      <w:pPr>
        <w:keepNext w:val="0"/>
        <w:keepLines w:val="0"/>
        <w:pageBreakBefore w:val="0"/>
        <w:widowControl w:val="0"/>
        <w:numPr>
          <w:ilvl w:val="0"/>
          <w:numId w:val="11"/>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停车场需增加，老旧房需改造或搬迁。</w:t>
      </w:r>
    </w:p>
    <w:p>
      <w:pPr>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jc w:val="both"/>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五、其他意见建议</w:t>
      </w:r>
    </w:p>
    <w:p>
      <w:pPr>
        <w:keepNext w:val="0"/>
        <w:keepLines w:val="0"/>
        <w:pageBreakBefore w:val="0"/>
        <w:widowControl w:val="0"/>
        <w:numPr>
          <w:ilvl w:val="0"/>
          <w:numId w:val="12"/>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建议先地下后地上，规划先行。</w:t>
      </w:r>
    </w:p>
    <w:p>
      <w:pPr>
        <w:keepNext w:val="0"/>
        <w:keepLines w:val="0"/>
        <w:pageBreakBefore w:val="0"/>
        <w:widowControl w:val="0"/>
        <w:numPr>
          <w:ilvl w:val="0"/>
          <w:numId w:val="12"/>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请再多点人性化，如凉晒衣架、长椅子、养狗监督管理等。</w:t>
      </w:r>
    </w:p>
    <w:p>
      <w:pPr>
        <w:keepNext w:val="0"/>
        <w:keepLines w:val="0"/>
        <w:pageBreakBefore w:val="0"/>
        <w:widowControl w:val="0"/>
        <w:numPr>
          <w:ilvl w:val="0"/>
          <w:numId w:val="12"/>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加大城市更新力度。</w:t>
      </w:r>
    </w:p>
    <w:p>
      <w:pPr>
        <w:keepNext w:val="0"/>
        <w:keepLines w:val="0"/>
        <w:pageBreakBefore w:val="0"/>
        <w:widowControl w:val="0"/>
        <w:numPr>
          <w:ilvl w:val="0"/>
          <w:numId w:val="12"/>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进一步完善政策，并严格落实，力争取得更大更好成效。</w:t>
      </w:r>
    </w:p>
    <w:p>
      <w:pPr>
        <w:keepNext w:val="0"/>
        <w:keepLines w:val="0"/>
        <w:pageBreakBefore w:val="0"/>
        <w:widowControl w:val="0"/>
        <w:numPr>
          <w:ilvl w:val="0"/>
          <w:numId w:val="12"/>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希望高效持续发展民生工程。</w:t>
      </w:r>
    </w:p>
    <w:p>
      <w:pPr>
        <w:keepNext w:val="0"/>
        <w:keepLines w:val="0"/>
        <w:pageBreakBefore w:val="0"/>
        <w:widowControl w:val="0"/>
        <w:numPr>
          <w:ilvl w:val="0"/>
          <w:numId w:val="12"/>
        </w:numPr>
        <w:kinsoku/>
        <w:wordWrap/>
        <w:overflowPunct/>
        <w:topLinePunct/>
        <w:autoSpaceDE/>
        <w:autoSpaceDN/>
        <w:bidi w:val="0"/>
        <w:adjustRightInd/>
        <w:snapToGrid/>
        <w:spacing w:line="560" w:lineRule="exact"/>
        <w:ind w:left="0" w:leftChars="0"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希望可以更加细节完善。</w:t>
      </w:r>
    </w:p>
    <w:p>
      <w:pPr>
        <w:keepNext/>
        <w:keepLines/>
        <w:widowControl w:val="0"/>
        <w:bidi w:val="0"/>
        <w:snapToGrid/>
        <w:spacing w:before="100" w:beforeLines="100" w:after="100" w:afterLines="100" w:line="360" w:lineRule="auto"/>
        <w:jc w:val="center"/>
        <w:outlineLvl w:val="1"/>
        <w:rPr>
          <w:rFonts w:hint="default" w:ascii="仿宋_GB2312" w:hAnsi="仿宋_GB2312" w:eastAsia="仿宋_GB2312" w:cs="仿宋_GB2312"/>
          <w:b/>
          <w:bCs/>
          <w:color w:val="auto"/>
          <w:kern w:val="2"/>
          <w:sz w:val="32"/>
          <w:szCs w:val="32"/>
          <w:highlight w:val="none"/>
          <w:lang w:val="en-US" w:eastAsia="zh-CN" w:bidi="ar-SA"/>
        </w:rPr>
      </w:pPr>
      <w:bookmarkStart w:id="69" w:name="_Toc31777"/>
      <w:bookmarkStart w:id="70" w:name="_Toc197"/>
      <w:r>
        <w:rPr>
          <w:rFonts w:hint="eastAsia" w:ascii="仿宋_GB2312" w:hAnsi="仿宋_GB2312" w:eastAsia="仿宋_GB2312" w:cs="仿宋_GB2312"/>
          <w:b/>
          <w:bCs/>
          <w:color w:val="auto"/>
          <w:kern w:val="2"/>
          <w:sz w:val="32"/>
          <w:szCs w:val="32"/>
          <w:highlight w:val="none"/>
          <w:lang w:val="en-US" w:eastAsia="zh-CN" w:bidi="ar-SA"/>
        </w:rPr>
        <w:t>3.3 征求意见座谈会</w:t>
      </w:r>
      <w:bookmarkEnd w:id="69"/>
    </w:p>
    <w:p>
      <w:pPr>
        <w:keepNext w:val="0"/>
        <w:keepLines w:val="0"/>
        <w:pageBreakBefore w:val="0"/>
        <w:widowControl w:val="0"/>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2025年4月25日上午，淮北市住房和城乡建设局组织召开了《淮北市城市更新暂行办法》实施效果后评估暨文件修订征求意见座谈会，参加会议的有：人大代表、政协委员、市城管局、市建投集团、皖新文化旅游发展有限公司、街道办、社区居委会负责人和社区居民代表等，共计15人，如图3-4，图3-5。</w:t>
      </w:r>
    </w:p>
    <w:p>
      <w:pPr>
        <w:keepNext w:val="0"/>
        <w:keepLines w:val="0"/>
        <w:pageBreakBefore w:val="0"/>
        <w:widowControl w:val="0"/>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会议由市住建局三级调研员王天书主持，市住建局城建科、市城建处参会。主持人向参会人员介绍了《暂行办法》的主要内容、背景，实施情况和拟修订内容，参会代表深入讨论了《暂行办法》实施对城市更新工作带来的影响和具体项目中遇到的问题，并提出了宝贵意见和建议。</w:t>
      </w:r>
    </w:p>
    <w:p>
      <w:pPr>
        <w:keepNext w:val="0"/>
        <w:keepLines w:val="0"/>
        <w:pageBreakBefore w:val="0"/>
        <w:widowControl w:val="0"/>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参会代表认为，随着淮北市社会经济的不断发展，老城区面临的更新改造压力较大。出台城市更新相关政策文件有利于进一步优化区域资源配置，提升城市治理水平，提高老城区居住环境质量。同时，部分参会代表针对以下方面存在的问题提出了意见建议：</w:t>
      </w:r>
    </w:p>
    <w:p>
      <w:pPr>
        <w:keepNext w:val="0"/>
        <w:keepLines w:val="0"/>
        <w:pageBreakBefore w:val="0"/>
        <w:widowControl w:val="0"/>
        <w:numPr>
          <w:ilvl w:val="0"/>
          <w:numId w:val="13"/>
        </w:numPr>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城市更新实施过程中公众参与不足，建议加强城市更新项目全过程公众参与力度，将居民迫切希望改造的内容如屋面漏水等问题纳入更新改造计划。</w:t>
      </w:r>
    </w:p>
    <w:p>
      <w:pPr>
        <w:keepNext w:val="0"/>
        <w:keepLines w:val="0"/>
        <w:pageBreakBefore w:val="0"/>
        <w:widowControl w:val="0"/>
        <w:numPr>
          <w:ilvl w:val="0"/>
          <w:numId w:val="13"/>
        </w:numPr>
        <w:kinsoku/>
        <w:wordWrap/>
        <w:overflowPunct/>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城市更新项目施工质量问题，建议明确各方责任，加强施工质量管理。</w:t>
      </w:r>
    </w:p>
    <w:p>
      <w:pPr>
        <w:keepNext w:val="0"/>
        <w:keepLines w:val="0"/>
        <w:pageBreakBefore w:val="0"/>
        <w:widowControl w:val="0"/>
        <w:numPr>
          <w:ilvl w:val="0"/>
          <w:numId w:val="13"/>
        </w:numPr>
        <w:kinsoku/>
        <w:wordWrap/>
        <w:overflowPunct/>
        <w:topLinePunct/>
        <w:autoSpaceDE/>
        <w:autoSpaceDN/>
        <w:bidi w:val="0"/>
        <w:adjustRightInd/>
        <w:snapToGrid/>
        <w:spacing w:line="560" w:lineRule="exact"/>
        <w:ind w:firstLine="640" w:firstLineChars="200"/>
        <w:jc w:val="both"/>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竣工工程后期维护管养问题，建议加强后期维护，提升改造效果。</w:t>
      </w:r>
    </w:p>
    <w:p>
      <w:pPr>
        <w:keepNext w:val="0"/>
        <w:keepLines w:val="0"/>
        <w:pageBreakBefore w:val="0"/>
        <w:widowControl w:val="0"/>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市住建局表示，针对城市更新过程中出现的问题，政策执行中遇到的难点、堵点，下一步将结合各方反馈研究解决措施，正在修订的《淮北市城市更新办法》对工作关注的各方面进行了回应。</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color w:val="auto"/>
          <w:kern w:val="2"/>
          <w:sz w:val="21"/>
          <w:szCs w:val="24"/>
          <w:lang w:val="en-US" w:eastAsia="zh-CN" w:bidi="ar-SA"/>
        </w:rPr>
      </w:pPr>
      <w:r>
        <w:rPr>
          <w:rFonts w:hint="eastAsia" w:ascii="Times New Roman" w:hAnsi="Times New Roman" w:eastAsia="宋体" w:cs="Times New Roman"/>
          <w:b/>
          <w:color w:val="auto"/>
          <w:kern w:val="2"/>
          <w:sz w:val="21"/>
          <w:szCs w:val="24"/>
          <w:lang w:val="en-US" w:eastAsia="zh-CN" w:bidi="ar-SA"/>
        </w:rPr>
        <w:drawing>
          <wp:inline distT="0" distB="0" distL="114300" distR="114300">
            <wp:extent cx="4641850" cy="2611120"/>
            <wp:effectExtent l="0" t="0" r="6350" b="17780"/>
            <wp:docPr id="116" name="图片 116" descr="c3ee9cd423106da2a71f2f3962369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 name="图片 116" descr="c3ee9cd423106da2a71f2f396236991"/>
                    <pic:cNvPicPr>
                      <a:picLocks noChangeAspect="true"/>
                    </pic:cNvPicPr>
                  </pic:nvPicPr>
                  <pic:blipFill>
                    <a:blip r:embed="rId31">
                      <a:lum bright="12000"/>
                    </a:blip>
                    <a:stretch>
                      <a:fillRect/>
                    </a:stretch>
                  </pic:blipFill>
                  <pic:spPr>
                    <a:xfrm>
                      <a:off x="0" y="0"/>
                      <a:ext cx="4641850" cy="26111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color w:val="auto"/>
          <w:kern w:val="2"/>
          <w:sz w:val="21"/>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color w:val="auto"/>
          <w:kern w:val="2"/>
          <w:sz w:val="21"/>
          <w:szCs w:val="24"/>
          <w:lang w:val="en-US" w:eastAsia="zh-CN" w:bidi="ar-SA"/>
        </w:rPr>
      </w:pPr>
      <w:r>
        <w:rPr>
          <w:rFonts w:hint="eastAsia" w:ascii="Times New Roman" w:hAnsi="Times New Roman" w:eastAsia="宋体" w:cs="Times New Roman"/>
          <w:b/>
          <w:color w:val="auto"/>
          <w:kern w:val="2"/>
          <w:sz w:val="21"/>
          <w:szCs w:val="24"/>
          <w:lang w:val="en-US" w:eastAsia="zh-CN" w:bidi="ar-SA"/>
        </w:rPr>
        <w:drawing>
          <wp:inline distT="0" distB="0" distL="114300" distR="114300">
            <wp:extent cx="4664075" cy="2623820"/>
            <wp:effectExtent l="0" t="0" r="3175" b="5080"/>
            <wp:docPr id="120" name="图片 120" descr="c7fec05d6139c6405d06ee452d546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0" name="图片 120" descr="c7fec05d6139c6405d06ee452d54651"/>
                    <pic:cNvPicPr>
                      <a:picLocks noChangeAspect="true"/>
                    </pic:cNvPicPr>
                  </pic:nvPicPr>
                  <pic:blipFill>
                    <a:blip r:embed="rId32"/>
                    <a:stretch>
                      <a:fillRect/>
                    </a:stretch>
                  </pic:blipFill>
                  <pic:spPr>
                    <a:xfrm>
                      <a:off x="0" y="0"/>
                      <a:ext cx="4664075" cy="2623820"/>
                    </a:xfrm>
                    <a:prstGeom prst="rect">
                      <a:avLst/>
                    </a:prstGeom>
                  </pic:spPr>
                </pic:pic>
              </a:graphicData>
            </a:graphic>
          </wp:inline>
        </w:drawing>
      </w:r>
    </w:p>
    <w:p>
      <w:pPr>
        <w:widowControl w:val="0"/>
        <w:spacing w:line="360" w:lineRule="auto"/>
        <w:jc w:val="center"/>
        <w:rPr>
          <w:rFonts w:hint="eastAsia" w:ascii="仿宋_GB2312" w:hAnsi="仿宋_GB2312" w:eastAsia="仿宋_GB2312" w:cs="仿宋_GB2312"/>
          <w:b/>
          <w:color w:val="auto"/>
          <w:kern w:val="2"/>
          <w:sz w:val="24"/>
          <w:szCs w:val="24"/>
          <w:lang w:val="en-US" w:eastAsia="zh-CN" w:bidi="ar-SA"/>
        </w:rPr>
      </w:pPr>
      <w:r>
        <w:rPr>
          <w:rFonts w:hint="eastAsia" w:ascii="仿宋_GB2312" w:hAnsi="仿宋_GB2312" w:eastAsia="仿宋_GB2312" w:cs="仿宋_GB2312"/>
          <w:b/>
          <w:color w:val="auto"/>
          <w:kern w:val="2"/>
          <w:sz w:val="24"/>
          <w:szCs w:val="24"/>
          <w:lang w:val="en-US" w:eastAsia="zh-CN" w:bidi="ar-SA"/>
        </w:rPr>
        <w:t>图3-4 征求社会公众意见座谈会现场照</w:t>
      </w:r>
    </w:p>
    <w:p>
      <w:pPr>
        <w:widowControl w:val="0"/>
        <w:wordWrap/>
        <w:topLinePunct/>
        <w:bidi w:val="0"/>
        <w:spacing w:line="360" w:lineRule="auto"/>
        <w:jc w:val="both"/>
        <w:rPr>
          <w:rFonts w:hint="eastAsia" w:ascii="仿宋_GB2312" w:hAnsi="仿宋_GB2312" w:eastAsia="仿宋_GB2312" w:cs="仿宋_GB2312"/>
          <w:color w:val="auto"/>
          <w:kern w:val="0"/>
          <w:sz w:val="32"/>
          <w:szCs w:val="32"/>
          <w:highlight w:val="none"/>
          <w:lang w:val="en-US" w:eastAsia="zh-CN" w:bidi="ar-SA"/>
        </w:rPr>
      </w:pPr>
    </w:p>
    <w:p>
      <w:pPr>
        <w:widowControl w:val="0"/>
        <w:spacing w:line="360" w:lineRule="auto"/>
        <w:jc w:val="center"/>
        <w:rPr>
          <w:rFonts w:hint="eastAsia" w:ascii="仿宋_GB2312" w:hAnsi="仿宋_GB2312" w:eastAsia="仿宋_GB2312" w:cs="仿宋_GB2312"/>
          <w:b/>
          <w:color w:val="auto"/>
          <w:kern w:val="2"/>
          <w:sz w:val="24"/>
          <w:szCs w:val="24"/>
          <w:lang w:val="en-US" w:eastAsia="zh-CN" w:bidi="ar-SA"/>
        </w:rPr>
      </w:pPr>
      <w:r>
        <w:rPr>
          <w:rFonts w:hint="eastAsia" w:ascii="仿宋_GB2312" w:hAnsi="仿宋_GB2312" w:eastAsia="仿宋_GB2312" w:cs="仿宋_GB2312"/>
          <w:b/>
          <w:color w:val="auto"/>
          <w:kern w:val="2"/>
          <w:sz w:val="24"/>
          <w:szCs w:val="24"/>
          <w:lang w:val="en-US" w:eastAsia="zh-CN" w:bidi="ar-SA"/>
        </w:rPr>
        <w:t>图3-5 征求社会公众意见座谈会签到</w:t>
      </w:r>
    </w:p>
    <w:p>
      <w:pPr>
        <w:widowControl w:val="0"/>
        <w:spacing w:line="360" w:lineRule="auto"/>
        <w:jc w:val="center"/>
        <w:rPr>
          <w:rFonts w:hint="eastAsia" w:ascii="仿宋_GB2312" w:hAnsi="仿宋_GB2312" w:eastAsia="仿宋_GB2312" w:cs="仿宋_GB2312"/>
          <w:b/>
          <w:color w:val="auto"/>
          <w:kern w:val="0"/>
          <w:sz w:val="32"/>
          <w:szCs w:val="32"/>
          <w:highlight w:val="none"/>
          <w:lang w:val="en-US" w:eastAsia="zh-CN" w:bidi="ar-SA"/>
        </w:rPr>
      </w:pPr>
    </w:p>
    <w:p>
      <w:pPr>
        <w:keepNext/>
        <w:keepLines/>
        <w:widowControl w:val="0"/>
        <w:bidi w:val="0"/>
        <w:snapToGrid/>
        <w:spacing w:before="100" w:beforeLines="100" w:after="100" w:afterLines="100" w:line="360" w:lineRule="auto"/>
        <w:jc w:val="center"/>
        <w:outlineLvl w:val="1"/>
        <w:rPr>
          <w:rFonts w:hint="default" w:ascii="仿宋_GB2312" w:hAnsi="仿宋_GB2312" w:eastAsia="仿宋_GB2312" w:cs="仿宋_GB2312"/>
          <w:b/>
          <w:bCs/>
          <w:color w:val="auto"/>
          <w:kern w:val="2"/>
          <w:sz w:val="32"/>
          <w:szCs w:val="32"/>
          <w:highlight w:val="none"/>
          <w:lang w:val="en-US" w:eastAsia="zh-CN" w:bidi="ar-SA"/>
        </w:rPr>
      </w:pPr>
      <w:bookmarkStart w:id="71" w:name="_Toc30540"/>
      <w:r>
        <w:rPr>
          <w:rFonts w:hint="eastAsia" w:ascii="仿宋_GB2312" w:hAnsi="仿宋_GB2312" w:eastAsia="仿宋_GB2312" w:cs="仿宋_GB2312"/>
          <w:b/>
          <w:bCs/>
          <w:color w:val="auto"/>
          <w:kern w:val="2"/>
          <w:sz w:val="32"/>
          <w:szCs w:val="32"/>
          <w:highlight w:val="none"/>
          <w:lang w:val="en-US" w:eastAsia="zh-CN" w:bidi="ar-SA"/>
        </w:rPr>
        <w:t>3.4 舆情分析</w:t>
      </w:r>
      <w:bookmarkEnd w:id="70"/>
      <w:bookmarkEnd w:id="71"/>
    </w:p>
    <w:p>
      <w:pPr>
        <w:keepNext w:val="0"/>
        <w:keepLines w:val="0"/>
        <w:pageBreakBefore w:val="0"/>
        <w:widowControl w:val="0"/>
        <w:kinsoku/>
        <w:wordWrap/>
        <w:overflowPunct/>
        <w:topLinePunct/>
        <w:autoSpaceDE/>
        <w:autoSpaceDN/>
        <w:bidi w:val="0"/>
        <w:adjustRightInd/>
        <w:snapToGrid/>
        <w:spacing w:line="560" w:lineRule="exact"/>
        <w:ind w:firstLine="640" w:firstLineChars="200"/>
        <w:jc w:val="both"/>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网络媒体在公众意见表达过程中发挥着重要的作用。评估小组通过百度、必应等平台搜索关键词组合：｛淮北市｝+｛城市更新｝+｛维权 信访 投诉｝等，目前网络未出现淮北市城市更新工作相关负面舆论信息。见图3-6。</w:t>
      </w:r>
    </w:p>
    <w:p>
      <w:pPr>
        <w:bidi w:val="0"/>
        <w:jc w:val="left"/>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drawing>
          <wp:anchor distT="0" distB="0" distL="114300" distR="114300" simplePos="0" relativeHeight="251661312" behindDoc="0" locked="0" layoutInCell="1" allowOverlap="1">
            <wp:simplePos x="0" y="0"/>
            <wp:positionH relativeFrom="column">
              <wp:posOffset>2033905</wp:posOffset>
            </wp:positionH>
            <wp:positionV relativeFrom="paragraph">
              <wp:posOffset>34925</wp:posOffset>
            </wp:positionV>
            <wp:extent cx="3557270" cy="6343650"/>
            <wp:effectExtent l="0" t="0" r="5080" b="0"/>
            <wp:wrapNone/>
            <wp:docPr id="10" name="图片 10" descr="a41a1d16a52d6ce2a2946e7066775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a41a1d16a52d6ce2a2946e706677500"/>
                    <pic:cNvPicPr>
                      <a:picLocks noChangeAspect="true"/>
                    </pic:cNvPicPr>
                  </pic:nvPicPr>
                  <pic:blipFill>
                    <a:blip r:embed="rId33"/>
                    <a:srcRect r="58039" b="21851"/>
                    <a:stretch>
                      <a:fillRect/>
                    </a:stretch>
                  </pic:blipFill>
                  <pic:spPr>
                    <a:xfrm>
                      <a:off x="0" y="0"/>
                      <a:ext cx="3557270" cy="6343650"/>
                    </a:xfrm>
                    <a:prstGeom prst="rect">
                      <a:avLst/>
                    </a:prstGeom>
                  </pic:spPr>
                </pic:pic>
              </a:graphicData>
            </a:graphic>
          </wp:anchor>
        </w:drawing>
      </w:r>
      <w:r>
        <w:rPr>
          <w:rFonts w:hint="eastAsia" w:ascii="Times New Roman" w:hAnsi="Times New Roman" w:eastAsia="宋体" w:cs="Times New Roman"/>
          <w:color w:val="auto"/>
          <w:highlight w:val="none"/>
          <w:lang w:val="en-US" w:eastAsia="zh-CN"/>
        </w:rPr>
        <w:drawing>
          <wp:inline distT="0" distB="0" distL="114300" distR="114300">
            <wp:extent cx="3826510" cy="6240780"/>
            <wp:effectExtent l="0" t="0" r="2540" b="7620"/>
            <wp:docPr id="9" name="图片 9" descr="3691edffbb74d4339538ab166b71ba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3691edffbb74d4339538ab166b71ba6"/>
                    <pic:cNvPicPr>
                      <a:picLocks noChangeAspect="true"/>
                    </pic:cNvPicPr>
                  </pic:nvPicPr>
                  <pic:blipFill>
                    <a:blip r:embed="rId34"/>
                    <a:srcRect l="1300" t="2076" r="35205" b="9274"/>
                    <a:stretch>
                      <a:fillRect/>
                    </a:stretch>
                  </pic:blipFill>
                  <pic:spPr>
                    <a:xfrm>
                      <a:off x="0" y="0"/>
                      <a:ext cx="3826510" cy="6240780"/>
                    </a:xfrm>
                    <a:prstGeom prst="rect">
                      <a:avLst/>
                    </a:prstGeom>
                  </pic:spPr>
                </pic:pic>
              </a:graphicData>
            </a:graphic>
          </wp:inline>
        </w:drawing>
      </w:r>
    </w:p>
    <w:p>
      <w:pPr>
        <w:bidi w:val="0"/>
        <w:jc w:val="center"/>
        <w:rPr>
          <w:rFonts w:hint="eastAsia"/>
          <w:color w:val="auto"/>
          <w:highlight w:val="none"/>
          <w:lang w:val="en-US" w:eastAsia="zh-CN"/>
        </w:rPr>
      </w:pPr>
      <w:r>
        <w:rPr>
          <w:rFonts w:hint="eastAsia" w:ascii="仿宋_GB2312" w:hAnsi="仿宋_GB2312" w:eastAsia="仿宋_GB2312" w:cs="仿宋_GB2312"/>
          <w:b/>
          <w:bCs/>
          <w:color w:val="auto"/>
          <w:sz w:val="24"/>
          <w:szCs w:val="24"/>
          <w:highlight w:val="none"/>
          <w:lang w:val="en-US" w:eastAsia="zh-CN"/>
        </w:rPr>
        <w:t>图3-6 网络舆论截图</w:t>
      </w:r>
    </w:p>
    <w:p>
      <w:pPr>
        <w:bidi w:val="0"/>
        <w:rPr>
          <w:rFonts w:hint="default"/>
          <w:color w:val="auto"/>
          <w:highlight w:val="none"/>
          <w:lang w:val="en-US" w:eastAsia="zh-CN"/>
        </w:rPr>
        <w:sectPr>
          <w:headerReference r:id="rId12" w:type="default"/>
          <w:footerReference r:id="rId13" w:type="default"/>
          <w:pgSz w:w="11906" w:h="16838"/>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pStyle w:val="2"/>
        <w:bidi w:val="0"/>
        <w:rPr>
          <w:rFonts w:hint="eastAsia"/>
          <w:color w:val="auto"/>
          <w:highlight w:val="none"/>
          <w:lang w:val="en-US" w:eastAsia="zh-CN"/>
        </w:rPr>
      </w:pPr>
      <w:bookmarkStart w:id="72" w:name="_Toc15749"/>
      <w:r>
        <w:rPr>
          <w:rFonts w:hint="eastAsia"/>
          <w:color w:val="auto"/>
          <w:highlight w:val="none"/>
          <w:lang w:val="en-US" w:eastAsia="zh-CN"/>
        </w:rPr>
        <w:t>4 后评估内容</w:t>
      </w:r>
      <w:bookmarkEnd w:id="72"/>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依据《安徽省政府立法后评估办法》（皖府法﹙2011﹞52号），后评估的内容包括：</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（一）</w:t>
      </w:r>
      <w:r>
        <w:rPr>
          <w:rFonts w:hint="eastAsia" w:ascii="仿宋_GB2312" w:hAnsi="仿宋_GB2312" w:eastAsia="仿宋_GB2312" w:cs="仿宋_GB2312"/>
          <w:b/>
          <w:bCs/>
          <w:color w:val="auto"/>
          <w:sz w:val="32"/>
          <w:szCs w:val="32"/>
          <w:highlight w:val="none"/>
          <w:lang w:val="en-US" w:eastAsia="zh-CN"/>
        </w:rPr>
        <w:t>合法性</w:t>
      </w:r>
      <w:r>
        <w:rPr>
          <w:rFonts w:hint="eastAsia" w:ascii="仿宋_GB2312" w:hAnsi="仿宋_GB2312" w:eastAsia="仿宋_GB2312" w:cs="仿宋_GB2312"/>
          <w:color w:val="auto"/>
          <w:sz w:val="32"/>
          <w:szCs w:val="32"/>
          <w:highlight w:val="none"/>
          <w:lang w:val="en-US" w:eastAsia="zh-CN"/>
        </w:rPr>
        <w:t>。政府规章、规范性文件的依据是否修改，与上位法的规定是否抵触；</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（二）</w:t>
      </w:r>
      <w:r>
        <w:rPr>
          <w:rFonts w:hint="eastAsia" w:ascii="仿宋_GB2312" w:hAnsi="仿宋_GB2312" w:eastAsia="仿宋_GB2312" w:cs="仿宋_GB2312"/>
          <w:b/>
          <w:bCs/>
          <w:color w:val="auto"/>
          <w:sz w:val="32"/>
          <w:szCs w:val="32"/>
          <w:highlight w:val="none"/>
          <w:lang w:val="en-US" w:eastAsia="zh-CN"/>
        </w:rPr>
        <w:t>合理性</w:t>
      </w:r>
      <w:r>
        <w:rPr>
          <w:rFonts w:hint="eastAsia" w:ascii="仿宋_GB2312" w:hAnsi="仿宋_GB2312" w:eastAsia="仿宋_GB2312" w:cs="仿宋_GB2312"/>
          <w:color w:val="auto"/>
          <w:sz w:val="32"/>
          <w:szCs w:val="32"/>
          <w:highlight w:val="none"/>
          <w:lang w:val="en-US" w:eastAsia="zh-CN"/>
        </w:rPr>
        <w:t>。政府规章、规范性文件规定的制度、措施和手段是否适当、必要，是否符合权利与义务、权力与责任相统一的原则，设定的法律责任是否与违法行为的事实、性质、情节以及危害程度相当；</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（三）</w:t>
      </w:r>
      <w:r>
        <w:rPr>
          <w:rFonts w:hint="eastAsia" w:ascii="仿宋_GB2312" w:hAnsi="仿宋_GB2312" w:eastAsia="仿宋_GB2312" w:cs="仿宋_GB2312"/>
          <w:b/>
          <w:bCs/>
          <w:color w:val="auto"/>
          <w:sz w:val="32"/>
          <w:szCs w:val="32"/>
          <w:highlight w:val="none"/>
          <w:lang w:val="en-US" w:eastAsia="zh-CN"/>
        </w:rPr>
        <w:t>协调性</w:t>
      </w:r>
      <w:r>
        <w:rPr>
          <w:rFonts w:hint="eastAsia" w:ascii="仿宋_GB2312" w:hAnsi="仿宋_GB2312" w:eastAsia="仿宋_GB2312" w:cs="仿宋_GB2312"/>
          <w:color w:val="auto"/>
          <w:sz w:val="32"/>
          <w:szCs w:val="32"/>
          <w:highlight w:val="none"/>
          <w:lang w:val="en-US" w:eastAsia="zh-CN"/>
        </w:rPr>
        <w:t>。与其他政府规章、规范性文件是否存在冲突；</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（四）</w:t>
      </w:r>
      <w:r>
        <w:rPr>
          <w:rFonts w:hint="eastAsia" w:ascii="仿宋_GB2312" w:hAnsi="仿宋_GB2312" w:eastAsia="仿宋_GB2312" w:cs="仿宋_GB2312"/>
          <w:b/>
          <w:bCs/>
          <w:color w:val="auto"/>
          <w:sz w:val="32"/>
          <w:szCs w:val="32"/>
          <w:highlight w:val="none"/>
          <w:lang w:val="en-US" w:eastAsia="zh-CN"/>
        </w:rPr>
        <w:t>操作性</w:t>
      </w:r>
      <w:r>
        <w:rPr>
          <w:rFonts w:hint="eastAsia" w:ascii="仿宋_GB2312" w:hAnsi="仿宋_GB2312" w:eastAsia="仿宋_GB2312" w:cs="仿宋_GB2312"/>
          <w:color w:val="auto"/>
          <w:sz w:val="32"/>
          <w:szCs w:val="32"/>
          <w:highlight w:val="none"/>
          <w:lang w:val="en-US" w:eastAsia="zh-CN"/>
        </w:rPr>
        <w:t>。执法主体是否明确，措施、手段和法律责任是否明确、具体、可行，程序是否正当、高效、便民，实施机制是否完备；</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（五）</w:t>
      </w:r>
      <w:r>
        <w:rPr>
          <w:rFonts w:hint="eastAsia" w:ascii="仿宋_GB2312" w:hAnsi="仿宋_GB2312" w:eastAsia="仿宋_GB2312" w:cs="仿宋_GB2312"/>
          <w:b/>
          <w:bCs/>
          <w:color w:val="auto"/>
          <w:sz w:val="32"/>
          <w:szCs w:val="32"/>
          <w:highlight w:val="none"/>
          <w:lang w:val="en-US" w:eastAsia="zh-CN"/>
        </w:rPr>
        <w:t>实效性</w:t>
      </w:r>
      <w:r>
        <w:rPr>
          <w:rFonts w:hint="eastAsia" w:ascii="仿宋_GB2312" w:hAnsi="仿宋_GB2312" w:eastAsia="仿宋_GB2312" w:cs="仿宋_GB2312"/>
          <w:color w:val="auto"/>
          <w:sz w:val="32"/>
          <w:szCs w:val="32"/>
          <w:highlight w:val="none"/>
          <w:lang w:val="en-US" w:eastAsia="zh-CN"/>
        </w:rPr>
        <w:t>。是否能够解决实际问题，实施后对政治、经济、社会、文化、生态环境等方面的影响，公众的反映，实施成本与产生的经济、社会效益情况；</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（六）</w:t>
      </w:r>
      <w:r>
        <w:rPr>
          <w:rFonts w:hint="eastAsia" w:ascii="仿宋_GB2312" w:hAnsi="仿宋_GB2312" w:eastAsia="仿宋_GB2312" w:cs="仿宋_GB2312"/>
          <w:b/>
          <w:bCs/>
          <w:color w:val="auto"/>
          <w:sz w:val="32"/>
          <w:szCs w:val="32"/>
          <w:highlight w:val="none"/>
          <w:lang w:val="en-US" w:eastAsia="zh-CN"/>
        </w:rPr>
        <w:t>规范性</w:t>
      </w:r>
      <w:r>
        <w:rPr>
          <w:rFonts w:hint="eastAsia" w:ascii="仿宋_GB2312" w:hAnsi="仿宋_GB2312" w:eastAsia="仿宋_GB2312" w:cs="仿宋_GB2312"/>
          <w:color w:val="auto"/>
          <w:sz w:val="32"/>
          <w:szCs w:val="32"/>
          <w:highlight w:val="none"/>
          <w:lang w:val="en-US" w:eastAsia="zh-CN"/>
        </w:rPr>
        <w:t>。概念界定是否明确，语言表述是否准确、规范、简明，逻辑结构是否严密。</w:t>
      </w:r>
    </w:p>
    <w:p>
      <w:pPr>
        <w:rPr>
          <w:rFonts w:hint="eastAsia"/>
          <w:color w:val="auto"/>
          <w:highlight w:val="none"/>
          <w:lang w:val="en-US" w:eastAsia="zh-CN"/>
        </w:rPr>
      </w:pPr>
      <w:r>
        <w:rPr>
          <w:rFonts w:hint="eastAsia"/>
          <w:color w:val="auto"/>
          <w:highlight w:val="none"/>
          <w:lang w:val="en-US" w:eastAsia="zh-CN"/>
        </w:rPr>
        <w:br w:type="page"/>
      </w:r>
    </w:p>
    <w:p>
      <w:pPr>
        <w:pStyle w:val="3"/>
        <w:bidi w:val="0"/>
        <w:rPr>
          <w:rFonts w:hint="eastAsia"/>
          <w:color w:val="auto"/>
          <w:highlight w:val="none"/>
          <w:lang w:val="en-US" w:eastAsia="zh-CN"/>
        </w:rPr>
      </w:pPr>
      <w:bookmarkStart w:id="73" w:name="_Toc20513"/>
      <w:r>
        <w:rPr>
          <w:rFonts w:hint="eastAsia"/>
          <w:color w:val="auto"/>
          <w:highlight w:val="none"/>
          <w:lang w:val="en-US" w:eastAsia="zh-CN"/>
        </w:rPr>
        <w:t>4.1 合法性评估</w:t>
      </w:r>
      <w:bookmarkEnd w:id="73"/>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淮北市城市更新暂行办法》主要依据住建部《关于在城市更新中防止大拆大建有关问题的通知》（建科〔2021〕63号）、安徽省人民政府办公厅《关于实施城市更新行动推动城市高质量发展实施方案》（皖政办〔2021〕13号）、《淮北市城市更新行动实施方案》（淮政办〔2021〕32号）等政策文件制定。在办法施行期间，未发现其依据文件重大修改情况。从条文内容来看，该办法严格遵循上位法对于城市更新的指导精神，在城市更新的范围界定、工作原则、实施主体职责划分、项目审批流程以及历史文化遗产保护等关键方面，与上位法的规定保持高度一致，不存在抵触情形，确保城市更新工作在合法合规的框架内推进。</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2023年11月10日，自然资源部办公厅印发《支持城市更新的规划与土地政策指引（2023版）》，旨在落实党中央、国务院决策，发挥“多规合一”优势助力城市更新，营造宜居韧性智慧城市。《淮北市城市更新暂行办法》强调城市更新需遵循国土空间规划，在城市更新项目推进过程中，从单元片区调查到方案编制，都以淮北市整体的国土空间规划为基础。例如在确定老旧小区改造、工业遗址更新等项目的范围和功能定位时，充分考虑城市总体空间布局要求，与《支持城市更新的规划与土地政策指引（2023版）》中强化国土空间规划对城市更新指导约束，统筹城市更新相关规划和实施全过程的要求一致，有效促进了淮北市生产、生活、生态空间布局的优化。</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2024年9月18日，安徽省住房和城乡建设厅发布关于印发《关于推进城市功能品质活力提升行动 深入开展城市更新工作的若干措施》的通知，该文件旨在推动城市更新，建设宜居韧性智慧现代化城市，涵盖创新实施路径、优化规划管控等内容。经对比，《淮北市城市更新暂行办法》与该文件在核心主旨与诸多关键要点上具有一致性，未发现冲突情形。</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分析可见，《暂行办法》实施期间，相关依据未进行修改，与新发布相关文件对比，未发现相抵触的情况。具备合法性。经了解，目前淮北市城市更新行动领导小组已取消，建议成立市城市更新工作专班。</w:t>
      </w:r>
    </w:p>
    <w:p>
      <w:pPr>
        <w:pStyle w:val="3"/>
        <w:bidi w:val="0"/>
        <w:rPr>
          <w:rFonts w:hint="eastAsia"/>
          <w:color w:val="auto"/>
          <w:highlight w:val="none"/>
          <w:lang w:val="en-US" w:eastAsia="zh-CN"/>
        </w:rPr>
      </w:pPr>
      <w:bookmarkStart w:id="74" w:name="_Toc808"/>
      <w:r>
        <w:rPr>
          <w:rFonts w:hint="eastAsia"/>
          <w:color w:val="auto"/>
          <w:highlight w:val="none"/>
          <w:lang w:val="en-US" w:eastAsia="zh-CN"/>
        </w:rPr>
        <w:t>4.2 合理性评估</w:t>
      </w:r>
      <w:bookmarkEnd w:id="74"/>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对淮北市城市更新行动顺利推进，城镇体系不断完善，城市结构、功能、布局逐步调整优化，城市人居环境持续改善，城市治理水平全面提升，人民群众获得感幸福感安全感明显增强具有重要意义。从实际执行结果来看，决策的执行结果与决策的制定目的基本相符，能够从多维度切实满足社会发展与民众生活需求。</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契合城市发展规律。城市发展历经兴起、成长、成熟等阶段，淮北市部分建成区域步入成熟期后，出现空间形态老化、功能布局不合理等问题。《暂行办法》提出对旧工业区、旧商业区、旧住宅区及城中村等已建成区域和城市重点区域，实行“留、改、拆、建”并举的更新模式，契合城市发展规律，能有效解决城市发展瓶颈，推动城市空间与功能的优化升级。例如，对老旧工业区进行改造，可将其转变为创新产业园区，实现产业转型与空间重塑。</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优化资源配置。通过城市更新专项规划、单元片区更新方案等，对城市更新项目进行科学规划与统筹安排，能够优化土地、资金、人力等资源配置。明确城市更新项目库及计划编制管理要求，将有限资源集中投入到重点项目与民生需求领域，提高资源利用效率，避免资源浪费。比如，在基础设施更新项目中，合理规划资金使用，优先解决供水、供电、排水等关键问题。</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解决城市发展现实问题。淮北市城市发展面临诸多现实问题，如老旧小区基础设施老化、公共服务设施不足、城市风貌有待提升等。根据淮北市2024年城市体检报告，城市更新建设发展成效显著，部分指标如老旧小区改造率、人均公共文化设施面积等提升明显，但也存在问题，如完整社区建设进度迟缓、公共服务设施不健全等。《暂行办法》的实施，能够系统解决这些问题，改善居民生活环境，提升城市品质。</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满足居民美好生活需要。人民对美好生活的向往是城市发展的根本动力。城市更新旨在提升城市功能品质，改善居民生活环境，提供更多优质公共服务。《暂行办法》以满足人民群众日益增长的美好生活需要为出发点，通过实施老旧小区改造、城市生态修复、城市功能完善等工程，让居民在城市更新中获得更多的幸福感、获得感和安全感。</w:t>
      </w:r>
    </w:p>
    <w:p>
      <w:pPr>
        <w:pStyle w:val="29"/>
        <w:keepNext w:val="0"/>
        <w:keepLines w:val="0"/>
        <w:pageBreakBefore w:val="0"/>
        <w:widowControl w:val="0"/>
        <w:kinsoku/>
        <w:wordWrap/>
        <w:overflowPunct/>
        <w:topLinePunct/>
        <w:autoSpaceDE/>
        <w:autoSpaceDN/>
        <w:bidi w:val="0"/>
        <w:adjustRightInd/>
        <w:snapToGrid/>
        <w:spacing w:line="560" w:lineRule="exact"/>
        <w:ind w:left="0" w:leftChars="0" w:firstLine="640" w:firstLineChars="200"/>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规定了政府、各相关部门、市场主体以及土地使用权人和房屋所有权人的权利和义务。政府发挥规划引领、政策支持和资源配置作用，区级政府负责具体实施，市场主体参与投资建设，各方在城市更新中各司其职，权利与义务、权力与责任相互匹配。在项目实施过程中，各区政府作为责任主体负责组织编制、论证和上报项目实施方案，并办理相关手续，市住房城乡建设部门负责指导项目规范实施，其他部门在各自职责范围内协同工作，形成了有效的工作机制。</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明确了城市更新方式及实施流程，提出了相关的支持政策，为今后淮北市城市更新工作的顺利开展提供了政策支持和制度保障，有利于指导、协调和保障城市更新项目顺利实施，为构建完备的城市更新工作机制和政策支持体系奠定了基础。</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《暂行办法》对淮北市城市更新工作具有重要意义，相关规定适当、必要，《暂行办法》具有合理性。</w:t>
      </w:r>
    </w:p>
    <w:p>
      <w:pPr>
        <w:pStyle w:val="3"/>
        <w:bidi w:val="0"/>
        <w:rPr>
          <w:rFonts w:hint="eastAsia"/>
          <w:color w:val="auto"/>
          <w:highlight w:val="none"/>
          <w:lang w:val="en-US" w:eastAsia="zh-CN"/>
        </w:rPr>
      </w:pPr>
      <w:bookmarkStart w:id="75" w:name="_Toc6514"/>
      <w:r>
        <w:rPr>
          <w:rFonts w:hint="eastAsia"/>
          <w:color w:val="auto"/>
          <w:highlight w:val="none"/>
          <w:lang w:val="en-US" w:eastAsia="zh-CN"/>
        </w:rPr>
        <w:t>4.3 协调性评估</w:t>
      </w:r>
      <w:bookmarkEnd w:id="75"/>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2024年3月2日，安徽省人民政府发布关于《淮北市国土空间总体规划（2021—2035年）》的批复。《总体规划》第七章围绕优化中心城区空间布局，从明确城市更新策略、划定城市更新重点区域、分类推进城市更新等多方面阐述城市更新相关内容，旨在建设宜居韧性智慧现代化城市。</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仿宋_GB2312" w:hAnsi="仿宋_GB2312" w:eastAsia="仿宋_GB2312" w:cs="仿宋_GB2312"/>
          <w:b w:val="0"/>
          <w:bCs w:val="0"/>
          <w:color w:val="auto"/>
          <w:sz w:val="32"/>
          <w:szCs w:val="32"/>
          <w:highlight w:val="none"/>
          <w:lang w:val="en-US" w:eastAsia="zh-CN"/>
        </w:rPr>
      </w:pPr>
      <w:r>
        <w:rPr>
          <w:rFonts w:hint="default" w:ascii="仿宋_GB2312" w:hAnsi="仿宋_GB2312" w:eastAsia="仿宋_GB2312" w:cs="仿宋_GB2312"/>
          <w:b w:val="0"/>
          <w:bCs w:val="0"/>
          <w:color w:val="auto"/>
          <w:sz w:val="32"/>
          <w:szCs w:val="32"/>
          <w:highlight w:val="none"/>
          <w:lang w:val="en-US" w:eastAsia="zh-CN"/>
        </w:rPr>
        <w:t>《淮北市城市更新暂行办法》与《淮北市国土空间总体规划（2021—2035年）》第七章在城市更新内容上高度协调，均以提升城市品质、完善城市功能为导向，在更新目标上都致力于优化城市空间、改善人居环境，在更新范围和重点区域确定方面相互参照且依据一致，分类推进城市更新对各类区域改造思路契合，在实施保障措施上都强调政策支持和多部门协同，共同为淮北市城市更新工作的顺利推进提供坚实保障，推动城市可持续发展。</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2024年2月，淮北市出台《淮北市城市更新专项规划》，为提升城市功能品质，加快补齐城市发展建设中的短板弱项，进一步推动淮北市城市更新工作制度化、规范化发展。</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专项规划》以相山区、杜集区和烈山区等为研究对象，结合城市体检成果，提出城市公共服务、社区建设、道路交通、蓝绿空间、安全韧性、特色风貌等方面现状概况、问题与挑战。聚焦市民急难愁盼的突出6大问题，提出6大行动计划、明确29项重点任务、划分13个更新片区，建立健全统筹谋划机制。</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《专项规划》依据《淮北市城市更新暂行办法》等相关文件编制。二者在目标导向、规划实施、保障机制等方面相呼应，共同推动淮北市城市更新工作的开展。</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2023年11月24日，淮北市人民政府办公室发布《关于印发淮北市城市地下管线管理办法的通知》，该文件旨在加强城市地下管线管理，合理利用地下空间资源，保障管线建设与运行安全。在城市更新项目中，地下管线管理贯穿规划、建设、运行维护各阶段。更新项目规划需考虑地下管线布局；建设时，地下管线要与整体项目同步推进；运行维护中，确保地下管线安全稳定运行，保障更新成果。城市更新旨在提升城市品质，地下管线管理为保障管线安全、合理利用地下空间，二者都是为推动城市可持续发展，目标一致。</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在目前的城市更新工作推进过程中，尚未发现《暂行办法》与其他政府规章、规范性文件、相关规划存在冲突情况。各文件相互协作，保障了城市更新工作的顺利开展，体现了良好的协调性。</w:t>
      </w:r>
    </w:p>
    <w:p>
      <w:pPr>
        <w:pStyle w:val="3"/>
        <w:bidi w:val="0"/>
        <w:rPr>
          <w:rFonts w:hint="eastAsia"/>
          <w:color w:val="auto"/>
          <w:highlight w:val="none"/>
          <w:lang w:val="en-US" w:eastAsia="zh-CN"/>
        </w:rPr>
      </w:pPr>
      <w:bookmarkStart w:id="76" w:name="_Toc14505"/>
      <w:r>
        <w:rPr>
          <w:rFonts w:hint="eastAsia"/>
          <w:color w:val="auto"/>
          <w:highlight w:val="none"/>
          <w:lang w:val="en-US" w:eastAsia="zh-CN"/>
        </w:rPr>
        <w:t>4.4 操作性评估</w:t>
      </w:r>
      <w:bookmarkEnd w:id="76"/>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责任主体明确。《暂行办法》提出城市更新工作机制，成立以市长为组长、分管副市长为副组长，市相关部门和区政府主要负责同志为成员的城市更新行动领导小组，负责统筹协调解决重大问题，审定城市更新年度计划，指导督促工作落实。明确各区政府是本辖区城市更新工作的责任主体，负责组织实施城市更新项目，市住房城乡建设部门负责编制市级城市更新专项规划，指导城市更新项目规范实施。市级相关单位和各区政府共同做好城市更新项目立项、审批、实施与保障工作。其他相关部门在各自职责范围内协同开展工作，责任主体清晰明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城市更新项目可行。从项目实施流程来看，《暂行办法》对项目实施方案的编制内容、审批程序等作出了具体规定，如要求项目实施方案应包括建设工程设计方案、征收补偿方案、资金平衡方案等，相关部门要按照“放管服”改革要求简化审批材料、优化审批环节，具有较强的可操作性。在资金筹措方面，明确了多种资金来源渠道，为项目实施提供了资金保障。</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实施机制合理。《暂行办法》建立了专家咨询制度、公众参与机制和项目库动态管理机制等。专家咨询为城市更新项目提供专业技术支持，公众参与保障了居民的知情权和参与权，项目库动态管理确保了项目的合理实施和资源的有效配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创新举措。一是坚持“留改拆”并举，科学确定城市更新内容。城市更新工作注重对城市空间形态和功能进行保护、整治、改善、优化，补齐城市基础设施和公共服务设施短板，完善城市空间结构，改善城市人居环境，塑造城市特色风貌。二是提出土地、规划等支持政策。创新土地供应政策，根据城市更新地块具体情况，除法律规定必须采取招标、拍卖、挂牌方式出让的，经市政府同意，可以采取协议出让方式供应土地。</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val="0"/>
          <w:bCs w:val="0"/>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工作统筹协调。2024年8月，淮北市成立由市长任组长的城市功能品质活力提升领导小组，设立由市发展改革委、市住建局“双牵头”的领导小组办公室，成立两个专班，由市发展改革委牵头成立工作谋划专班，负责推动工作谋划，协调推进资源对接；市住建局牵头成立建设专班，负责推动城市更新等重点项目的具体组织和实施。</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b w:val="0"/>
          <w:bCs w:val="0"/>
          <w:color w:val="auto"/>
          <w:sz w:val="32"/>
          <w:szCs w:val="32"/>
          <w:highlight w:val="none"/>
          <w:lang w:val="en-US" w:eastAsia="zh-CN"/>
        </w:rPr>
        <w:t>2024年11月，淮北市成立淮北</w:t>
      </w:r>
      <w:r>
        <w:rPr>
          <w:rFonts w:hint="eastAsia" w:ascii="仿宋_GB2312" w:hAnsi="仿宋_GB2312" w:eastAsia="仿宋_GB2312" w:cs="仿宋_GB2312"/>
          <w:color w:val="auto"/>
          <w:sz w:val="32"/>
          <w:szCs w:val="32"/>
          <w:highlight w:val="none"/>
          <w:lang w:val="en-US" w:eastAsia="zh-CN"/>
        </w:rPr>
        <w:t>市城市更新工作专班，成员单位包括市发改、财政、规划、住建等36家单位或部门，进一步推进便民停车行动、城镇供排水管理、燃气安全、城市生命线运行等城市更新行动任务。</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为进一步完善城市更新相关管理职能，经市政府编办批准同意，市住建局下属市城乡建设管理处设立了城市更新科，落实人员编制，负责全市城市更新政策研究、统筹推进、监督指导等工作。</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《暂行办法》责任主体明确，城市更新项目实施流程具有可操作性，管理机制合理，在相关部门和科室的协同下，《暂行办法》具有操作性。</w:t>
      </w:r>
    </w:p>
    <w:p>
      <w:pPr>
        <w:pStyle w:val="3"/>
        <w:bidi w:val="0"/>
        <w:rPr>
          <w:rFonts w:hint="eastAsia"/>
          <w:color w:val="auto"/>
          <w:highlight w:val="none"/>
          <w:lang w:val="en-US" w:eastAsia="zh-CN"/>
        </w:rPr>
      </w:pPr>
      <w:bookmarkStart w:id="77" w:name="_Toc9268"/>
      <w:r>
        <w:rPr>
          <w:rFonts w:hint="eastAsia"/>
          <w:color w:val="auto"/>
          <w:highlight w:val="none"/>
          <w:lang w:val="en-US" w:eastAsia="zh-CN"/>
        </w:rPr>
        <w:t>4.5 实效性评估</w:t>
      </w:r>
      <w:bookmarkEnd w:id="77"/>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2023-2024年淮北市共开展城市更新相关项目62个，涵盖既有建筑更新改造类、城镇老旧小区改造类、活力街区打造类、城市功能完善类、城市基础设施更新改造类、城市生态修复类、城市历史文化保护传承类，以及其他城市更新相关项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从实施的众多城市更新项目可以看出，《暂行办法》在解决城市发展实际问题方面发挥了积极作用。在既有建筑更新改造方面，淮北市体育中学校舍危房改扩建项目改善了学校的教学环境；城镇老旧小区改造类项目提升了居民的居住质量；活力街区打造类项目，开展老电厂工业遗址改扩建、相山区文创街区等，项目建成后，将有效改善城市环境，推动周边基础设施的建设和环境的改善，提升城市的整体形象。城市功能完善类项目如淮北市中医医院中西医结合综合楼项目、淮北市疾病预防控制中心工程项目等，增强了城市的公共服务能力，有效解决了部分城市发展短板问题。</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2024年10月18日，啤酒厂文创街区项目案例在省城市功能品质活力提升工作专报（第16期）公布推广。通过“留改拆”建设模式，保留历史风貌。统筹“工业遗存保护+拆除重建”，强调与城市共生，采取保留改造策略，打造集商、住、办为一体的城市综合体。项目建成后，将有效改善城市环境，推动周边基础设施的建设和环境的改善，提升城市的整体形象。吸引不同地区的游客，为人们提供交流和聚会的场所，增加区域居民就业，拉动消费。向公众普及啤酒酿造的科学知识、工艺流程，培养人们对工业生产的认知和兴趣。文创街区有望成为淮北市乃至皖北具有代表性的高品质复合型文化商业街区。</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持续推进城区老旧小区改造，提升了居民生活质量，增加幸福感。其中，2023年全市共计改造46个小区，包括相山区34个小区，杜集区10个小区，烈山区2个小区，共涉及18229户居民。2024年全市共计改造63个小区，包括相山区52个小区，杜集区9个，烈山区2个，共涉及31034户居民。2025年计划实施改造老旧小区34个，包括相山区31个，杜集区3个，共涉及20616户居民。</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在经济方面，城市更新项目吸引了大量社会资本投入，带动了相关产业发展，如建筑、装修、商业运营等，促进了经济增长。在社会方面，改善了居民的生活环境，提高了居民的生活品质，增强了居民的幸福感和满意度。老旧小区改造后，小区的基础设施得到完善，环境更加整洁美观，居民的生活更加便利。在生态环境方面，城市生态修复类项目如口袋公园建设及绿地改造提升、三湖公园景观改造提升等，增加了城市绿地面积，改善了生态环境。</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通过对部分居民的调查和反馈来看，多数公众对城市更新工作表示支持和认可，认为在实施城市更新以来，当地的住房条件、交通设施、公共服务、市容环境等方面有所改善。问卷调查表明，60.6%受访居民对《暂行办法》实施效果满意，34.8%基本满意，4.6%不满意，整体满意程度较高。</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从长远来看，城市更新提升了城市的整体形象和竞争力，促进了经济的可持续发展，改善了城市人居环境，产生了一定的经济和社会效益。</w:t>
      </w:r>
    </w:p>
    <w:p>
      <w:pPr>
        <w:pStyle w:val="3"/>
        <w:bidi w:val="0"/>
        <w:rPr>
          <w:rFonts w:hint="eastAsia"/>
          <w:color w:val="auto"/>
          <w:highlight w:val="none"/>
          <w:lang w:val="en-US" w:eastAsia="zh-CN"/>
        </w:rPr>
      </w:pPr>
      <w:bookmarkStart w:id="78" w:name="_Toc30642"/>
      <w:r>
        <w:rPr>
          <w:rFonts w:hint="eastAsia"/>
          <w:color w:val="auto"/>
          <w:highlight w:val="none"/>
          <w:lang w:val="en-US" w:eastAsia="zh-CN"/>
        </w:rPr>
        <w:t>4.6 规范性评估</w:t>
      </w:r>
      <w:bookmarkEnd w:id="78"/>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《暂行办法》对“城市更新”的概念界定清晰明确，准确阐述了城市更新的范围、内容和目标，即对已建成区域及城市重点区域城市空间形态和功能进行整治、改善、优化，实现多方面的完善和提升。</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暂行办法》中语言表述准确、规范、简明，使用专业术语恰当，在阐述各项规定、流程和要求时，逻辑清晰，无歧义，易于理解和执行。文件措辞符合《全国人民代表大会常务委员会法制工作委员会关于印送〈立法技术规范(试行)(一)〉的函》（法工委发〔2009〕62号）《全国人民代表大会常务委员会法制工作委员会关于印送〈立法技术规范(试行)(二)〉的函》（法工委发〔2011〕5号）要求。</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default"/>
          <w:color w:val="auto"/>
          <w:highlight w:val="none"/>
          <w:lang w:val="en-US" w:eastAsia="zh-CN"/>
        </w:rPr>
      </w:pPr>
      <w:r>
        <w:rPr>
          <w:rFonts w:hint="eastAsia" w:ascii="仿宋_GB2312" w:hAnsi="仿宋_GB2312" w:eastAsia="仿宋_GB2312" w:cs="仿宋_GB2312"/>
          <w:color w:val="auto"/>
          <w:sz w:val="32"/>
          <w:szCs w:val="32"/>
          <w:highlight w:val="none"/>
          <w:lang w:val="en-US" w:eastAsia="zh-CN"/>
        </w:rPr>
        <w:t>《暂行办法》整体逻辑结构严密，从制定目的、适用范围、工作原则、组织机构、工作流程到保障措施，各章节之间层层递进，环环相扣，形成了完整的城市更新工作指导体系。</w:t>
      </w:r>
    </w:p>
    <w:p>
      <w:pPr>
        <w:pStyle w:val="8"/>
        <w:rPr>
          <w:rFonts w:hint="default"/>
          <w:color w:val="auto"/>
          <w:highlight w:val="none"/>
          <w:lang w:val="en-US" w:eastAsia="zh-CN"/>
        </w:rPr>
        <w:sectPr>
          <w:pgSz w:w="11906" w:h="16838"/>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pStyle w:val="2"/>
        <w:bidi w:val="0"/>
        <w:rPr>
          <w:rFonts w:hint="eastAsia"/>
          <w:color w:val="auto"/>
          <w:highlight w:val="none"/>
          <w:lang w:val="en-US" w:eastAsia="zh-CN"/>
        </w:rPr>
      </w:pPr>
      <w:bookmarkStart w:id="79" w:name="_Toc9677"/>
      <w:r>
        <w:rPr>
          <w:rFonts w:hint="eastAsia"/>
          <w:color w:val="auto"/>
          <w:highlight w:val="none"/>
          <w:lang w:val="en-US" w:eastAsia="zh-CN"/>
        </w:rPr>
        <w:t>5 决策实施存在问题及建议</w:t>
      </w:r>
      <w:bookmarkEnd w:id="79"/>
    </w:p>
    <w:p>
      <w:pPr>
        <w:pStyle w:val="3"/>
        <w:bidi w:val="0"/>
        <w:rPr>
          <w:rFonts w:hint="default"/>
          <w:color w:val="auto"/>
          <w:highlight w:val="none"/>
          <w:lang w:val="en-US" w:eastAsia="zh-CN"/>
        </w:rPr>
      </w:pPr>
      <w:bookmarkStart w:id="80" w:name="_Toc8425"/>
      <w:r>
        <w:rPr>
          <w:rFonts w:hint="eastAsia"/>
          <w:color w:val="auto"/>
          <w:highlight w:val="none"/>
          <w:lang w:val="en-US" w:eastAsia="zh-CN"/>
        </w:rPr>
        <w:t>5.1 存在的问题</w:t>
      </w:r>
      <w:bookmarkEnd w:id="80"/>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经过充分的现场调查和文案分析，《暂行办法》实施过程中主要存在以下问题：</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default"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一、城市更新项目竣工验收</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default" w:ascii="仿宋_GB2312" w:hAnsi="仿宋_GB2312" w:eastAsia="仿宋_GB2312" w:cs="仿宋_GB2312"/>
          <w:color w:val="auto"/>
          <w:sz w:val="32"/>
          <w:szCs w:val="32"/>
          <w:highlight w:val="none"/>
          <w:lang w:val="en-US" w:eastAsia="zh-CN"/>
        </w:rPr>
        <w:t>《暂行办法》中未明确更新项目验收问题，更新项目验收过程中会存在现行验收标准未能达到的情况，比如档案资料未能按照现行标准提供完全，配套设施未能达到现行标准等。</w:t>
      </w:r>
      <w:r>
        <w:rPr>
          <w:rFonts w:hint="eastAsia" w:ascii="仿宋_GB2312" w:hAnsi="仿宋_GB2312" w:eastAsia="仿宋_GB2312" w:cs="仿宋_GB2312"/>
          <w:color w:val="auto"/>
          <w:sz w:val="32"/>
          <w:szCs w:val="32"/>
          <w:highlight w:val="none"/>
          <w:lang w:val="en-US" w:eastAsia="zh-CN"/>
        </w:rPr>
        <w:t>在实际调查过程中，部分居民反映小区改造施工质量较差，需加强施工质量管理。</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default"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二、</w:t>
      </w:r>
      <w:r>
        <w:rPr>
          <w:rFonts w:hint="default" w:ascii="仿宋_GB2312" w:hAnsi="仿宋_GB2312" w:eastAsia="仿宋_GB2312" w:cs="仿宋_GB2312"/>
          <w:b/>
          <w:bCs/>
          <w:color w:val="auto"/>
          <w:kern w:val="0"/>
          <w:sz w:val="32"/>
          <w:szCs w:val="32"/>
          <w:lang w:val="en-US" w:eastAsia="zh-CN" w:bidi="ar-SA"/>
        </w:rPr>
        <w:t>产权利益</w:t>
      </w:r>
      <w:r>
        <w:rPr>
          <w:rFonts w:hint="eastAsia" w:ascii="仿宋_GB2312" w:hAnsi="仿宋_GB2312" w:eastAsia="仿宋_GB2312" w:cs="仿宋_GB2312"/>
          <w:b/>
          <w:bCs/>
          <w:color w:val="auto"/>
          <w:kern w:val="0"/>
          <w:sz w:val="32"/>
          <w:szCs w:val="32"/>
          <w:lang w:val="en-US" w:eastAsia="zh-CN" w:bidi="ar-SA"/>
        </w:rPr>
        <w:t>关系</w:t>
      </w:r>
      <w:r>
        <w:rPr>
          <w:rFonts w:hint="default" w:ascii="仿宋_GB2312" w:hAnsi="仿宋_GB2312" w:eastAsia="仿宋_GB2312" w:cs="仿宋_GB2312"/>
          <w:b/>
          <w:bCs/>
          <w:color w:val="auto"/>
          <w:kern w:val="0"/>
          <w:sz w:val="32"/>
          <w:szCs w:val="32"/>
          <w:lang w:val="en-US" w:eastAsia="zh-CN" w:bidi="ar-SA"/>
        </w:rPr>
        <w:t>复杂</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default" w:ascii="仿宋_GB2312" w:hAnsi="仿宋_GB2312" w:eastAsia="仿宋_GB2312" w:cs="仿宋_GB2312"/>
          <w:color w:val="auto"/>
          <w:sz w:val="32"/>
          <w:szCs w:val="32"/>
          <w:highlight w:val="none"/>
          <w:lang w:val="en-US" w:eastAsia="zh-CN"/>
        </w:rPr>
        <w:t>受历史遗留问题影响，部分老旧更新空间产权分割严重，涉及各类企业、团体组织、个人等多个业主，甚至以小产权个人业主为主，但由于缺乏合理退出或正常收回的有效途径，面临严峻的产权利益协调问题，制约着城市更新项目实施进度。</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default" w:ascii="仿宋_GB2312" w:hAnsi="仿宋_GB2312" w:eastAsia="仿宋_GB2312" w:cs="仿宋_GB2312"/>
          <w:b/>
          <w:bCs/>
          <w:color w:val="auto"/>
          <w:sz w:val="32"/>
          <w:szCs w:val="32"/>
          <w:highlight w:val="none"/>
          <w:lang w:val="en-US" w:eastAsia="zh-CN"/>
        </w:rPr>
      </w:pPr>
      <w:r>
        <w:rPr>
          <w:rFonts w:hint="eastAsia" w:ascii="仿宋_GB2312" w:hAnsi="仿宋_GB2312" w:eastAsia="仿宋_GB2312" w:cs="仿宋_GB2312"/>
          <w:b/>
          <w:bCs/>
          <w:color w:val="auto"/>
          <w:kern w:val="0"/>
          <w:sz w:val="32"/>
          <w:szCs w:val="32"/>
          <w:lang w:val="en-US" w:eastAsia="zh-CN" w:bidi="ar-SA"/>
        </w:rPr>
        <w:t>三、</w:t>
      </w:r>
      <w:r>
        <w:rPr>
          <w:rFonts w:hint="default" w:ascii="仿宋_GB2312" w:hAnsi="仿宋_GB2312" w:eastAsia="仿宋_GB2312" w:cs="仿宋_GB2312"/>
          <w:b/>
          <w:bCs/>
          <w:color w:val="auto"/>
          <w:sz w:val="32"/>
          <w:szCs w:val="32"/>
          <w:highlight w:val="none"/>
          <w:lang w:val="en-US" w:eastAsia="zh-CN"/>
        </w:rPr>
        <w:t>居民出资意愿较低</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default" w:ascii="仿宋_GB2312" w:hAnsi="仿宋_GB2312" w:eastAsia="仿宋_GB2312" w:cs="仿宋_GB2312"/>
          <w:color w:val="auto"/>
          <w:sz w:val="32"/>
          <w:szCs w:val="32"/>
          <w:highlight w:val="none"/>
          <w:lang w:val="en-US" w:eastAsia="zh-CN"/>
        </w:rPr>
        <w:t>根据各县区前期征求意见及入户调研情况，</w:t>
      </w:r>
      <w:r>
        <w:rPr>
          <w:rFonts w:hint="eastAsia" w:ascii="仿宋_GB2312" w:hAnsi="仿宋_GB2312" w:eastAsia="仿宋_GB2312" w:cs="仿宋_GB2312"/>
          <w:color w:val="auto"/>
          <w:sz w:val="32"/>
          <w:szCs w:val="32"/>
          <w:highlight w:val="none"/>
          <w:lang w:val="en-US" w:eastAsia="zh-CN"/>
        </w:rPr>
        <w:t>在老旧小区改造项目中，</w:t>
      </w:r>
      <w:r>
        <w:rPr>
          <w:rFonts w:hint="default" w:ascii="仿宋_GB2312" w:hAnsi="仿宋_GB2312" w:eastAsia="仿宋_GB2312" w:cs="仿宋_GB2312"/>
          <w:color w:val="auto"/>
          <w:sz w:val="32"/>
          <w:szCs w:val="32"/>
          <w:highlight w:val="none"/>
          <w:lang w:val="en-US" w:eastAsia="zh-CN"/>
        </w:rPr>
        <w:t>居民出资</w:t>
      </w:r>
      <w:r>
        <w:rPr>
          <w:rFonts w:hint="eastAsia" w:ascii="仿宋_GB2312" w:hAnsi="仿宋_GB2312" w:eastAsia="仿宋_GB2312" w:cs="仿宋_GB2312"/>
          <w:color w:val="auto"/>
          <w:sz w:val="32"/>
          <w:szCs w:val="32"/>
          <w:highlight w:val="none"/>
          <w:lang w:val="en-US" w:eastAsia="zh-CN"/>
        </w:rPr>
        <w:t>意愿</w:t>
      </w:r>
      <w:r>
        <w:rPr>
          <w:rFonts w:hint="default" w:ascii="仿宋_GB2312" w:hAnsi="仿宋_GB2312" w:eastAsia="仿宋_GB2312" w:cs="仿宋_GB2312"/>
          <w:color w:val="auto"/>
          <w:sz w:val="32"/>
          <w:szCs w:val="32"/>
          <w:highlight w:val="none"/>
          <w:lang w:val="en-US" w:eastAsia="zh-CN"/>
        </w:rPr>
        <w:t>较低，愿意出资的居民一般为需要维修屋面或外墙等部位的情况，其他没有切身利益需要改造的出资意愿较差。老旧小区改造项目涉及人员较广，意见难统一，而且老旧小区居民大多数是老年人，思想工作难度较大，协调工作难。</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eastAsia"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四、公众参与不足</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调查问卷表明，</w:t>
      </w:r>
      <w:r>
        <w:rPr>
          <w:rFonts w:hint="default" w:ascii="仿宋_GB2312" w:hAnsi="仿宋_GB2312" w:eastAsia="仿宋_GB2312" w:cs="仿宋_GB2312"/>
          <w:color w:val="auto"/>
          <w:sz w:val="32"/>
          <w:szCs w:val="32"/>
          <w:highlight w:val="none"/>
          <w:lang w:val="en-US" w:eastAsia="zh-CN"/>
        </w:rPr>
        <w:t>33.0%</w:t>
      </w:r>
      <w:r>
        <w:rPr>
          <w:rFonts w:hint="eastAsia" w:ascii="仿宋_GB2312" w:hAnsi="仿宋_GB2312" w:eastAsia="仿宋_GB2312" w:cs="仿宋_GB2312"/>
          <w:color w:val="auto"/>
          <w:sz w:val="32"/>
          <w:szCs w:val="32"/>
          <w:highlight w:val="none"/>
          <w:lang w:val="en-US" w:eastAsia="zh-CN"/>
        </w:rPr>
        <w:t>的受访者表示在城市更新过程中经常参与意见征求相关活动，</w:t>
      </w:r>
      <w:r>
        <w:rPr>
          <w:rFonts w:hint="default" w:ascii="仿宋_GB2312" w:hAnsi="仿宋_GB2312" w:eastAsia="仿宋_GB2312" w:cs="仿宋_GB2312"/>
          <w:color w:val="auto"/>
          <w:sz w:val="32"/>
          <w:szCs w:val="32"/>
          <w:highlight w:val="none"/>
          <w:lang w:val="en-US" w:eastAsia="zh-CN"/>
        </w:rPr>
        <w:t>36.2%</w:t>
      </w:r>
      <w:r>
        <w:rPr>
          <w:rFonts w:hint="eastAsia" w:ascii="仿宋_GB2312" w:hAnsi="仿宋_GB2312" w:eastAsia="仿宋_GB2312" w:cs="仿宋_GB2312"/>
          <w:color w:val="auto"/>
          <w:sz w:val="32"/>
          <w:szCs w:val="32"/>
          <w:highlight w:val="none"/>
          <w:lang w:val="en-US" w:eastAsia="zh-CN"/>
        </w:rPr>
        <w:t>表示</w:t>
      </w:r>
      <w:r>
        <w:rPr>
          <w:rFonts w:hint="default" w:ascii="仿宋_GB2312" w:hAnsi="仿宋_GB2312" w:eastAsia="仿宋_GB2312" w:cs="仿宋_GB2312"/>
          <w:color w:val="auto"/>
          <w:sz w:val="32"/>
          <w:szCs w:val="32"/>
          <w:highlight w:val="none"/>
          <w:lang w:val="en-US" w:eastAsia="zh-CN"/>
        </w:rPr>
        <w:t>偶尔参与</w:t>
      </w:r>
      <w:r>
        <w:rPr>
          <w:rFonts w:hint="eastAsia" w:ascii="仿宋_GB2312" w:hAnsi="仿宋_GB2312" w:eastAsia="仿宋_GB2312" w:cs="仿宋_GB2312"/>
          <w:color w:val="auto"/>
          <w:sz w:val="32"/>
          <w:szCs w:val="32"/>
          <w:highlight w:val="none"/>
          <w:lang w:val="en-US" w:eastAsia="zh-CN"/>
        </w:rPr>
        <w:t>，30.8</w:t>
      </w:r>
      <w:r>
        <w:rPr>
          <w:rFonts w:hint="default" w:ascii="仿宋_GB2312" w:hAnsi="仿宋_GB2312" w:eastAsia="仿宋_GB2312" w:cs="仿宋_GB2312"/>
          <w:color w:val="auto"/>
          <w:sz w:val="32"/>
          <w:szCs w:val="32"/>
          <w:highlight w:val="none"/>
          <w:lang w:val="en-US" w:eastAsia="zh-CN"/>
        </w:rPr>
        <w:t>%</w:t>
      </w:r>
      <w:r>
        <w:rPr>
          <w:rFonts w:hint="eastAsia" w:ascii="仿宋_GB2312" w:hAnsi="仿宋_GB2312" w:eastAsia="仿宋_GB2312" w:cs="仿宋_GB2312"/>
          <w:color w:val="auto"/>
          <w:sz w:val="32"/>
          <w:szCs w:val="32"/>
          <w:highlight w:val="none"/>
          <w:lang w:val="en-US" w:eastAsia="zh-CN"/>
        </w:rPr>
        <w:t>的受访者表示未参与过或未听说过，整体参与度不高。座谈会中，街道办代表、社区居委会代表表示广大群众迫切希望更新改造的部分内容仍未纳入更新计划。</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eastAsia"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五、老旧小区改造不足</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在实际走访过程中，部分群众和社区表示老旧小区目前仅开展小区路面改造、外立面粉刷、管线整理、路灯、绿化及广场提升等内容。无法切实解决居民亟待处理的问题，如屋面漏水、雨污分流等实际痛点问题。</w:t>
      </w:r>
    </w:p>
    <w:p>
      <w:pPr>
        <w:pStyle w:val="3"/>
        <w:bidi w:val="0"/>
        <w:rPr>
          <w:rFonts w:hint="eastAsia"/>
          <w:color w:val="auto"/>
          <w:highlight w:val="none"/>
          <w:lang w:val="en-US" w:eastAsia="zh-CN"/>
        </w:rPr>
      </w:pPr>
      <w:bookmarkStart w:id="81" w:name="_Toc25020"/>
      <w:r>
        <w:rPr>
          <w:rFonts w:hint="eastAsia"/>
          <w:color w:val="auto"/>
          <w:highlight w:val="none"/>
          <w:lang w:val="en-US" w:eastAsia="zh-CN"/>
        </w:rPr>
        <w:t>5.2 意见建议</w:t>
      </w:r>
      <w:bookmarkEnd w:id="81"/>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default"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一、关于</w:t>
      </w:r>
      <w:r>
        <w:rPr>
          <w:rFonts w:hint="eastAsia" w:ascii="仿宋_GB2312" w:hAnsi="仿宋_GB2312" w:eastAsia="仿宋_GB2312" w:cs="仿宋_GB2312"/>
          <w:b/>
          <w:bCs/>
          <w:color w:val="auto"/>
          <w:kern w:val="0"/>
          <w:sz w:val="32"/>
          <w:szCs w:val="32"/>
          <w:lang w:val="en-US" w:eastAsia="zh-CN" w:bidi="ar-SA"/>
        </w:rPr>
        <w:t>城市更新项目验收问题的建议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明确建设单位、施工单位、监理单位、设计单位以及相关政府部门在验收过程中的职责和义务。建立健全整改流程，对于验收中发现的问题，明确整改内容、整改期限和整改要求。建设单位负责组织施工单位进行整改，监理单位负责监督整改过程，确保整改工作落实到位。对于整改不到位或拒不整改的项目，不予通过验收，并依法依规进行处罚。</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二、关于产权利益关系的建议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全面梳理老旧更新空间的产权状况，通过查阅房产档案、土地登记资料、走访相关人员等方式，确定每一处房产的产权归属、面积、用途等信息。针对存在争议或难以确定产权的部分，进行深入调查，收集历史资料、相关协议等，为后续的产权明晰和协调工作提供准确依据。建立产权信息数据库，将清查得到的产权信息进行整合录入，实现信息化管理。方便随时查询和共享信息，提高工作效率。</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default" w:ascii="仿宋_GB2312" w:hAnsi="仿宋_GB2312" w:eastAsia="仿宋_GB2312" w:cs="仿宋_GB2312"/>
          <w:b/>
          <w:bCs/>
          <w:color w:val="auto"/>
          <w:sz w:val="32"/>
          <w:szCs w:val="32"/>
          <w:highlight w:val="none"/>
          <w:lang w:val="en-US" w:eastAsia="zh-CN"/>
        </w:rPr>
      </w:pPr>
      <w:r>
        <w:rPr>
          <w:rFonts w:hint="eastAsia" w:ascii="仿宋_GB2312" w:hAnsi="仿宋_GB2312" w:eastAsia="仿宋_GB2312" w:cs="仿宋_GB2312"/>
          <w:b/>
          <w:bCs/>
          <w:color w:val="auto"/>
          <w:kern w:val="0"/>
          <w:sz w:val="32"/>
          <w:szCs w:val="32"/>
          <w:lang w:val="en-US" w:eastAsia="zh-CN" w:bidi="ar-SA"/>
        </w:rPr>
        <w:t>三、关于</w:t>
      </w:r>
      <w:r>
        <w:rPr>
          <w:rFonts w:hint="default" w:ascii="仿宋_GB2312" w:hAnsi="仿宋_GB2312" w:eastAsia="仿宋_GB2312" w:cs="仿宋_GB2312"/>
          <w:b/>
          <w:bCs/>
          <w:color w:val="auto"/>
          <w:sz w:val="32"/>
          <w:szCs w:val="32"/>
          <w:highlight w:val="none"/>
          <w:lang w:val="en-US" w:eastAsia="zh-CN"/>
        </w:rPr>
        <w:t>居民出资意愿较低</w:t>
      </w:r>
      <w:r>
        <w:rPr>
          <w:rFonts w:hint="eastAsia" w:ascii="仿宋_GB2312" w:hAnsi="仿宋_GB2312" w:eastAsia="仿宋_GB2312" w:cs="仿宋_GB2312"/>
          <w:b/>
          <w:bCs/>
          <w:color w:val="auto"/>
          <w:sz w:val="32"/>
          <w:szCs w:val="32"/>
          <w:highlight w:val="none"/>
          <w:lang w:val="en-US" w:eastAsia="zh-CN"/>
        </w:rPr>
        <w:t>的建议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加大宣传力度，</w:t>
      </w:r>
      <w:r>
        <w:rPr>
          <w:rFonts w:hint="default" w:ascii="仿宋_GB2312" w:hAnsi="仿宋_GB2312" w:eastAsia="仿宋_GB2312" w:cs="仿宋_GB2312"/>
          <w:color w:val="auto"/>
          <w:kern w:val="0"/>
          <w:sz w:val="32"/>
          <w:szCs w:val="32"/>
          <w:highlight w:val="none"/>
          <w:lang w:val="en-US" w:eastAsia="zh-CN" w:bidi="ar-SA"/>
        </w:rPr>
        <w:t>利用社区公告栏、小区微信群、地方电视台和广播电台等多种渠道，广泛宣传老旧小区改造的意义、规划和预期效果。详细介绍改造后小区在居住环境、设施配套、房产价值提升等方面的积极变化，提高居民对改造项目的认知度和认同感。</w:t>
      </w:r>
    </w:p>
    <w:p>
      <w:pPr>
        <w:pStyle w:val="29"/>
        <w:keepNext w:val="0"/>
        <w:keepLines w:val="0"/>
        <w:pageBreakBefore w:val="0"/>
        <w:widowControl w:val="0"/>
        <w:numPr>
          <w:ilvl w:val="0"/>
          <w:numId w:val="0"/>
        </w:numPr>
        <w:kinsoku/>
        <w:wordWrap/>
        <w:overflowPunct/>
        <w:topLinePunct/>
        <w:autoSpaceDE/>
        <w:autoSpaceDN/>
        <w:bidi w:val="0"/>
        <w:adjustRightInd/>
        <w:snapToGrid/>
        <w:spacing w:line="560" w:lineRule="exact"/>
        <w:ind w:firstLine="642" w:firstLineChars="200"/>
        <w:textAlignment w:val="auto"/>
        <w:rPr>
          <w:rFonts w:hint="eastAsia" w:ascii="仿宋_GB2312" w:hAnsi="仿宋_GB2312" w:eastAsia="仿宋_GB2312" w:cs="仿宋_GB2312"/>
          <w:b/>
          <w:bCs/>
          <w:color w:val="auto"/>
          <w:kern w:val="0"/>
          <w:sz w:val="32"/>
          <w:szCs w:val="32"/>
          <w:lang w:val="en-US" w:eastAsia="zh-CN" w:bidi="ar-SA"/>
        </w:rPr>
      </w:pPr>
      <w:r>
        <w:rPr>
          <w:rFonts w:hint="eastAsia" w:ascii="仿宋_GB2312" w:hAnsi="仿宋_GB2312" w:eastAsia="仿宋_GB2312" w:cs="仿宋_GB2312"/>
          <w:b/>
          <w:bCs/>
          <w:color w:val="auto"/>
          <w:kern w:val="0"/>
          <w:sz w:val="32"/>
          <w:szCs w:val="32"/>
          <w:lang w:val="en-US" w:eastAsia="zh-CN" w:bidi="ar-SA"/>
        </w:rPr>
        <w:t>四、关于公众参与不足的建议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进一步加大公众参与力度，在政府官网、社交媒体平台等开设城市更新专栏，定期发布项目进展，收集公众意见。</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eastAsia" w:ascii="仿宋_GB2312" w:hAnsi="仿宋_GB2312" w:eastAsia="仿宋_GB2312" w:cs="仿宋_GB2312"/>
          <w:b/>
          <w:bCs/>
          <w:color w:val="auto"/>
          <w:kern w:val="0"/>
          <w:sz w:val="32"/>
          <w:szCs w:val="32"/>
          <w:highlight w:val="none"/>
          <w:lang w:val="en-US" w:eastAsia="zh-CN" w:bidi="ar-SA"/>
        </w:rPr>
      </w:pPr>
      <w:r>
        <w:rPr>
          <w:rFonts w:hint="eastAsia" w:ascii="仿宋_GB2312" w:hAnsi="仿宋_GB2312" w:eastAsia="仿宋_GB2312" w:cs="仿宋_GB2312"/>
          <w:b/>
          <w:bCs/>
          <w:color w:val="auto"/>
          <w:kern w:val="0"/>
          <w:sz w:val="32"/>
          <w:szCs w:val="32"/>
          <w:highlight w:val="none"/>
          <w:lang w:val="en-US" w:eastAsia="zh-CN" w:bidi="ar-SA"/>
        </w:rPr>
        <w:t>五、关于老旧小区改造不足的建议</w:t>
      </w:r>
    </w:p>
    <w:p>
      <w:pPr>
        <w:pStyle w:val="29"/>
        <w:keepNext w:val="0"/>
        <w:keepLines w:val="0"/>
        <w:pageBreakBefore w:val="0"/>
        <w:widowControl w:val="0"/>
        <w:kinsoku/>
        <w:wordWrap/>
        <w:overflowPunct/>
        <w:topLinePunct/>
        <w:autoSpaceDE/>
        <w:autoSpaceDN/>
        <w:bidi w:val="0"/>
        <w:adjustRightInd/>
        <w:snapToGrid/>
        <w:spacing w:line="560" w:lineRule="exact"/>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全面、深入调研全市老旧小区现状，精准分析存在的问题，针对不同小区的实际情况制定并实施专项改造方案，积极解决老旧小区痛点问题。</w:t>
      </w:r>
    </w:p>
    <w:p>
      <w:pPr>
        <w:rPr>
          <w:rFonts w:hint="eastAsia"/>
          <w:color w:val="auto"/>
          <w:highlight w:val="none"/>
          <w:lang w:val="en-US" w:eastAsia="zh-CN"/>
        </w:rPr>
        <w:sectPr>
          <w:pgSz w:w="11906" w:h="16838"/>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pStyle w:val="2"/>
        <w:keepNext/>
        <w:keepLines w:val="0"/>
        <w:pageBreakBefore w:val="0"/>
        <w:widowControl w:val="0"/>
        <w:kinsoku/>
        <w:wordWrap/>
        <w:overflowPunct/>
        <w:topLinePunct w:val="0"/>
        <w:autoSpaceDE/>
        <w:autoSpaceDN/>
        <w:bidi w:val="0"/>
        <w:adjustRightInd/>
        <w:snapToGrid/>
        <w:spacing w:before="160" w:beforeLines="50" w:after="160" w:afterLines="50" w:line="360" w:lineRule="auto"/>
        <w:textAlignment w:val="auto"/>
        <w:rPr>
          <w:rFonts w:hint="default"/>
          <w:color w:val="auto"/>
          <w:highlight w:val="none"/>
        </w:rPr>
      </w:pPr>
      <w:bookmarkStart w:id="82" w:name="_Toc32547"/>
      <w:bookmarkStart w:id="83" w:name="_Toc382"/>
      <w:r>
        <w:rPr>
          <w:rFonts w:hint="eastAsia"/>
          <w:color w:val="auto"/>
          <w:highlight w:val="none"/>
          <w:lang w:val="en-US" w:eastAsia="zh-CN"/>
        </w:rPr>
        <w:t>6 评估结论</w:t>
      </w:r>
      <w:bookmarkEnd w:id="82"/>
      <w:bookmarkEnd w:id="83"/>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暂行办法》实施以来，淮北市城市更新工作成果显著。老旧小区改造、基础设施更新、历史文化保护等项目推进中，解决了部分城市发展短板问题。经济上，吸引社会资本，带动相关产业发展，促进经济增长；社会方面，改善居民生活环境，完善各类设施，提升居民生活品质与幸福感；生态环境领域，增加城市绿地面积，改善生态。这些成果体现了办法在城市更新中的积极作用，有力支撑了城市可持续发展。</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但是，《暂行办法》实施过程中仍存在一些具体问题。如：老旧更新空间产权复杂，缺乏合理的利益协调、产权处置途径，制约项目进度；老旧小区改造面临居民出资意愿低、意见难统一的问题；局部公众参与程度不高，部分居民意见未被重视反馈，影响居民对项目的认同和支持；施工质量和后期管养未达群众预期。</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为进一步优化城市更新工作，提升政策实施效果，建议进一步加大《暂行办法》宣传力度，引导居民深入参与；梳理老旧产权状况，建立数据库，平衡老旧小区改造利益，提高社会资本出资意愿；明确验收标准流程，细化各方职责，加强施工监管与验收整改，保障项目质量。</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通过充分的调查和研究，本报告认为《淮北市城市更新暂行办法》（淮政办〔2023〕6号）具备</w:t>
      </w:r>
      <w:r>
        <w:rPr>
          <w:rFonts w:hint="default" w:ascii="仿宋_GB2312" w:hAnsi="仿宋_GB2312" w:eastAsia="仿宋_GB2312" w:cs="仿宋_GB2312"/>
          <w:b w:val="0"/>
          <w:bCs w:val="0"/>
          <w:color w:val="auto"/>
          <w:kern w:val="0"/>
          <w:sz w:val="32"/>
          <w:szCs w:val="32"/>
          <w:highlight w:val="none"/>
          <w:lang w:val="en-US" w:eastAsia="zh-CN" w:bidi="ar-SA"/>
        </w:rPr>
        <w:t>合法性、合理性、协调性、操作性、</w:t>
      </w:r>
      <w:r>
        <w:rPr>
          <w:rFonts w:hint="eastAsia" w:ascii="仿宋_GB2312" w:hAnsi="仿宋_GB2312" w:eastAsia="仿宋_GB2312" w:cs="仿宋_GB2312"/>
          <w:b w:val="0"/>
          <w:bCs w:val="0"/>
          <w:color w:val="auto"/>
          <w:kern w:val="0"/>
          <w:sz w:val="32"/>
          <w:szCs w:val="32"/>
          <w:highlight w:val="none"/>
          <w:lang w:val="en-US" w:eastAsia="zh-CN" w:bidi="ar-SA"/>
        </w:rPr>
        <w:t>实效</w:t>
      </w:r>
      <w:r>
        <w:rPr>
          <w:rFonts w:hint="default" w:ascii="仿宋_GB2312" w:hAnsi="仿宋_GB2312" w:eastAsia="仿宋_GB2312" w:cs="仿宋_GB2312"/>
          <w:b w:val="0"/>
          <w:bCs w:val="0"/>
          <w:color w:val="auto"/>
          <w:kern w:val="0"/>
          <w:sz w:val="32"/>
          <w:szCs w:val="32"/>
          <w:highlight w:val="none"/>
          <w:lang w:val="en-US" w:eastAsia="zh-CN" w:bidi="ar-SA"/>
        </w:rPr>
        <w:t>性</w:t>
      </w:r>
      <w:r>
        <w:rPr>
          <w:rFonts w:hint="eastAsia" w:ascii="仿宋_GB2312" w:hAnsi="仿宋_GB2312" w:eastAsia="仿宋_GB2312" w:cs="仿宋_GB2312"/>
          <w:b w:val="0"/>
          <w:bCs w:val="0"/>
          <w:color w:val="auto"/>
          <w:kern w:val="0"/>
          <w:sz w:val="32"/>
          <w:szCs w:val="32"/>
          <w:highlight w:val="none"/>
          <w:lang w:val="en-US" w:eastAsia="zh-CN" w:bidi="ar-SA"/>
        </w:rPr>
        <w:t>和规范</w:t>
      </w:r>
      <w:r>
        <w:rPr>
          <w:rFonts w:hint="default" w:ascii="仿宋_GB2312" w:hAnsi="仿宋_GB2312" w:eastAsia="仿宋_GB2312" w:cs="仿宋_GB2312"/>
          <w:b w:val="0"/>
          <w:bCs w:val="0"/>
          <w:color w:val="auto"/>
          <w:kern w:val="0"/>
          <w:sz w:val="32"/>
          <w:szCs w:val="32"/>
          <w:highlight w:val="none"/>
          <w:lang w:val="en-US" w:eastAsia="zh-CN" w:bidi="ar-SA"/>
        </w:rPr>
        <w:t>性，决策执行结果与决策制定</w:t>
      </w:r>
      <w:r>
        <w:rPr>
          <w:rFonts w:hint="eastAsia" w:ascii="仿宋_GB2312" w:hAnsi="仿宋_GB2312" w:eastAsia="仿宋_GB2312" w:cs="仿宋_GB2312"/>
          <w:b w:val="0"/>
          <w:bCs w:val="0"/>
          <w:color w:val="auto"/>
          <w:kern w:val="0"/>
          <w:sz w:val="32"/>
          <w:szCs w:val="32"/>
          <w:highlight w:val="none"/>
          <w:lang w:val="en-US" w:eastAsia="zh-CN" w:bidi="ar-SA"/>
        </w:rPr>
        <w:t>目标</w:t>
      </w:r>
      <w:r>
        <w:rPr>
          <w:rFonts w:hint="default" w:ascii="仿宋_GB2312" w:hAnsi="仿宋_GB2312" w:eastAsia="仿宋_GB2312" w:cs="仿宋_GB2312"/>
          <w:b w:val="0"/>
          <w:bCs w:val="0"/>
          <w:color w:val="auto"/>
          <w:kern w:val="0"/>
          <w:sz w:val="32"/>
          <w:szCs w:val="32"/>
          <w:highlight w:val="none"/>
          <w:lang w:val="en-US" w:eastAsia="zh-CN" w:bidi="ar-SA"/>
        </w:rPr>
        <w:t>相符</w:t>
      </w:r>
      <w:r>
        <w:rPr>
          <w:rFonts w:hint="eastAsia" w:ascii="仿宋_GB2312" w:hAnsi="仿宋_GB2312" w:eastAsia="仿宋_GB2312" w:cs="仿宋_GB2312"/>
          <w:b w:val="0"/>
          <w:bCs w:val="0"/>
          <w:color w:val="auto"/>
          <w:kern w:val="0"/>
          <w:sz w:val="32"/>
          <w:szCs w:val="32"/>
          <w:highlight w:val="none"/>
          <w:lang w:val="en-US" w:eastAsia="zh-CN" w:bidi="ar-SA"/>
        </w:rPr>
        <w:t>，</w:t>
      </w:r>
      <w:r>
        <w:rPr>
          <w:rFonts w:hint="default" w:ascii="仿宋_GB2312" w:hAnsi="仿宋_GB2312" w:eastAsia="仿宋_GB2312" w:cs="仿宋_GB2312"/>
          <w:color w:val="auto"/>
          <w:kern w:val="0"/>
          <w:sz w:val="32"/>
          <w:szCs w:val="32"/>
          <w:highlight w:val="none"/>
          <w:lang w:val="en-US" w:eastAsia="zh-CN" w:bidi="ar-SA"/>
        </w:rPr>
        <w:t>在推动淮北市城市更新进程中发挥了重要作用</w:t>
      </w:r>
      <w:r>
        <w:rPr>
          <w:rFonts w:hint="eastAsia" w:ascii="仿宋_GB2312" w:hAnsi="仿宋_GB2312" w:eastAsia="仿宋_GB2312" w:cs="仿宋_GB2312"/>
          <w:color w:val="auto"/>
          <w:kern w:val="0"/>
          <w:sz w:val="32"/>
          <w:szCs w:val="32"/>
          <w:highlight w:val="none"/>
          <w:lang w:val="en-US" w:eastAsia="zh-CN" w:bidi="ar-SA"/>
        </w:rPr>
        <w:t>，建议该文件局部修订后继续实施</w:t>
      </w:r>
      <w:r>
        <w:rPr>
          <w:rFonts w:hint="default" w:ascii="仿宋_GB2312" w:hAnsi="仿宋_GB2312" w:eastAsia="仿宋_GB2312" w:cs="仿宋_GB2312"/>
          <w:color w:val="auto"/>
          <w:kern w:val="0"/>
          <w:sz w:val="32"/>
          <w:szCs w:val="32"/>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仿宋_GB2312" w:hAnsi="仿宋_GB2312" w:eastAsia="仿宋_GB2312" w:cs="仿宋_GB2312"/>
          <w:color w:val="auto"/>
          <w:kern w:val="0"/>
          <w:sz w:val="32"/>
          <w:szCs w:val="32"/>
          <w:highlight w:val="none"/>
          <w:lang w:val="en-US" w:eastAsia="zh-CN" w:bidi="ar-SA"/>
        </w:rPr>
        <w:sectPr>
          <w:pgSz w:w="11906" w:h="16838"/>
          <w:pgMar w:top="1440" w:right="1800" w:bottom="1440" w:left="1800" w:header="992" w:footer="992" w:gutter="0"/>
          <w:pgBorders>
            <w:top w:val="none" w:sz="0" w:space="0"/>
            <w:left w:val="none" w:sz="0" w:space="0"/>
            <w:bottom w:val="none" w:sz="0" w:space="0"/>
            <w:right w:val="none" w:sz="0" w:space="0"/>
          </w:pgBorders>
          <w:pgNumType w:fmt="decimal"/>
          <w:cols w:space="0" w:num="1"/>
          <w:rtlGutter w:val="0"/>
          <w:docGrid w:type="lines" w:linePitch="317" w:charSpace="0"/>
        </w:sectPr>
      </w:pPr>
    </w:p>
    <w:p>
      <w:pPr>
        <w:pStyle w:val="2"/>
        <w:bidi w:val="0"/>
        <w:rPr>
          <w:rFonts w:hint="eastAsia"/>
          <w:color w:val="auto"/>
          <w:highlight w:val="none"/>
          <w:lang w:val="en-US" w:eastAsia="zh-CN"/>
        </w:rPr>
      </w:pPr>
      <w:bookmarkStart w:id="84" w:name="_Toc20850"/>
      <w:r>
        <w:rPr>
          <w:rFonts w:hint="eastAsia"/>
          <w:color w:val="auto"/>
          <w:highlight w:val="none"/>
          <w:lang w:val="en-US" w:eastAsia="zh-CN"/>
        </w:rPr>
        <w:t>7 报告论证情况</w:t>
      </w:r>
      <w:bookmarkEnd w:id="84"/>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kern w:val="0"/>
          <w:sz w:val="32"/>
          <w:szCs w:val="32"/>
          <w:highlight w:val="none"/>
          <w:lang w:val="en-US" w:eastAsia="zh-CN" w:bidi="ar-SA"/>
        </w:rPr>
      </w:pPr>
      <w:r>
        <w:rPr>
          <w:rFonts w:hint="default" w:ascii="仿宋_GB2312" w:hAnsi="仿宋_GB2312" w:eastAsia="仿宋_GB2312" w:cs="仿宋_GB2312"/>
          <w:color w:val="auto"/>
          <w:kern w:val="0"/>
          <w:sz w:val="32"/>
          <w:szCs w:val="32"/>
          <w:highlight w:val="none"/>
          <w:lang w:val="en-US" w:eastAsia="zh-CN" w:bidi="ar-SA"/>
        </w:rPr>
        <w:t>2025年4月25日，淮北市住建局组织相关</w:t>
      </w:r>
      <w:r>
        <w:rPr>
          <w:rFonts w:hint="default" w:ascii="仿宋_GB2312" w:hAnsi="仿宋_GB2312" w:eastAsia="仿宋_GB2312" w:cs="仿宋_GB2312"/>
          <w:color w:val="auto"/>
          <w:kern w:val="0"/>
          <w:sz w:val="32"/>
          <w:szCs w:val="32"/>
          <w:highlight w:val="none"/>
          <w:lang w:val="en-US" w:eastAsia="zh-Hans" w:bidi="ar-SA"/>
        </w:rPr>
        <w:t>专家</w:t>
      </w:r>
      <w:r>
        <w:rPr>
          <w:rFonts w:hint="default" w:ascii="仿宋_GB2312" w:hAnsi="仿宋_GB2312" w:eastAsia="仿宋_GB2312" w:cs="仿宋_GB2312"/>
          <w:color w:val="auto"/>
          <w:kern w:val="0"/>
          <w:sz w:val="32"/>
          <w:szCs w:val="32"/>
          <w:highlight w:val="none"/>
          <w:lang w:val="en-US" w:eastAsia="zh-CN" w:bidi="ar-SA"/>
        </w:rPr>
        <w:t>召开了《&lt;淮北市城市更新暂行办法&gt;决策实施后评估报告》（以下简称《报告》）论证</w:t>
      </w:r>
      <w:r>
        <w:rPr>
          <w:rFonts w:hint="default" w:ascii="仿宋_GB2312" w:hAnsi="仿宋_GB2312" w:eastAsia="仿宋_GB2312" w:cs="仿宋_GB2312"/>
          <w:color w:val="auto"/>
          <w:kern w:val="0"/>
          <w:sz w:val="32"/>
          <w:szCs w:val="32"/>
          <w:highlight w:val="none"/>
          <w:lang w:val="en-US" w:eastAsia="zh-Hans" w:bidi="ar-SA"/>
        </w:rPr>
        <w:t>会议</w:t>
      </w:r>
      <w:r>
        <w:rPr>
          <w:rFonts w:hint="default" w:ascii="仿宋_GB2312" w:hAnsi="仿宋_GB2312" w:eastAsia="仿宋_GB2312" w:cs="仿宋_GB2312"/>
          <w:color w:val="auto"/>
          <w:kern w:val="0"/>
          <w:sz w:val="32"/>
          <w:szCs w:val="32"/>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kern w:val="0"/>
          <w:sz w:val="32"/>
          <w:szCs w:val="32"/>
          <w:highlight w:val="none"/>
          <w:lang w:val="en-US" w:eastAsia="zh-CN" w:bidi="ar-SA"/>
        </w:rPr>
      </w:pPr>
      <w:r>
        <w:rPr>
          <w:rFonts w:hint="default" w:ascii="仿宋_GB2312" w:hAnsi="仿宋_GB2312" w:eastAsia="仿宋_GB2312" w:cs="仿宋_GB2312"/>
          <w:color w:val="auto"/>
          <w:kern w:val="0"/>
          <w:sz w:val="32"/>
          <w:szCs w:val="32"/>
          <w:highlight w:val="none"/>
          <w:lang w:val="en-US" w:eastAsia="zh-CN" w:bidi="ar-SA"/>
        </w:rPr>
        <w:t>专家听取了淮北市住建局关于后评估事项</w:t>
      </w:r>
      <w:r>
        <w:rPr>
          <w:rFonts w:hint="default" w:ascii="仿宋_GB2312" w:hAnsi="仿宋_GB2312" w:eastAsia="仿宋_GB2312" w:cs="仿宋_GB2312"/>
          <w:color w:val="auto"/>
          <w:kern w:val="0"/>
          <w:sz w:val="32"/>
          <w:szCs w:val="32"/>
          <w:highlight w:val="none"/>
          <w:lang w:val="en-US" w:eastAsia="zh-Hans" w:bidi="ar-SA"/>
        </w:rPr>
        <w:t>的</w:t>
      </w:r>
      <w:r>
        <w:rPr>
          <w:rFonts w:hint="default" w:ascii="仿宋_GB2312" w:hAnsi="仿宋_GB2312" w:eastAsia="仿宋_GB2312" w:cs="仿宋_GB2312"/>
          <w:color w:val="auto"/>
          <w:kern w:val="0"/>
          <w:sz w:val="32"/>
          <w:szCs w:val="32"/>
          <w:highlight w:val="none"/>
          <w:lang w:val="en-US" w:eastAsia="zh-CN" w:bidi="ar-SA"/>
        </w:rPr>
        <w:t>介绍和评估</w:t>
      </w:r>
      <w:r>
        <w:rPr>
          <w:rFonts w:hint="default" w:ascii="仿宋_GB2312" w:hAnsi="仿宋_GB2312" w:eastAsia="仿宋_GB2312" w:cs="仿宋_GB2312"/>
          <w:color w:val="auto"/>
          <w:kern w:val="0"/>
          <w:sz w:val="32"/>
          <w:szCs w:val="32"/>
          <w:highlight w:val="none"/>
          <w:lang w:val="en-US" w:eastAsia="zh-Hans" w:bidi="ar-SA"/>
        </w:rPr>
        <w:t>单位</w:t>
      </w:r>
      <w:r>
        <w:rPr>
          <w:rFonts w:hint="default" w:ascii="仿宋_GB2312" w:hAnsi="仿宋_GB2312" w:eastAsia="仿宋_GB2312" w:cs="仿宋_GB2312"/>
          <w:color w:val="auto"/>
          <w:kern w:val="0"/>
          <w:sz w:val="32"/>
          <w:szCs w:val="32"/>
          <w:highlight w:val="none"/>
          <w:lang w:val="en-US" w:eastAsia="zh-CN" w:bidi="ar-SA"/>
        </w:rPr>
        <w:t>安徽相皖国泰风险管理咨询有限公司</w:t>
      </w:r>
      <w:r>
        <w:rPr>
          <w:rFonts w:hint="eastAsia" w:ascii="仿宋_GB2312" w:hAnsi="仿宋_GB2312" w:eastAsia="仿宋_GB2312" w:cs="仿宋_GB2312"/>
          <w:color w:val="auto"/>
          <w:kern w:val="0"/>
          <w:sz w:val="32"/>
          <w:szCs w:val="32"/>
          <w:highlight w:val="none"/>
          <w:lang w:val="en-US" w:eastAsia="zh-CN" w:bidi="ar-SA"/>
        </w:rPr>
        <w:t>关于报告的</w:t>
      </w:r>
      <w:r>
        <w:rPr>
          <w:rFonts w:hint="default" w:ascii="仿宋_GB2312" w:hAnsi="仿宋_GB2312" w:eastAsia="仿宋_GB2312" w:cs="仿宋_GB2312"/>
          <w:color w:val="auto"/>
          <w:kern w:val="0"/>
          <w:sz w:val="32"/>
          <w:szCs w:val="32"/>
          <w:highlight w:val="none"/>
          <w:lang w:val="en-US" w:eastAsia="zh-CN" w:bidi="ar-SA"/>
        </w:rPr>
        <w:t>汇报，</w:t>
      </w:r>
      <w:r>
        <w:rPr>
          <w:rFonts w:hint="eastAsia" w:ascii="仿宋_GB2312" w:hAnsi="仿宋_GB2312" w:eastAsia="仿宋_GB2312" w:cs="仿宋_GB2312"/>
          <w:color w:val="auto"/>
          <w:kern w:val="0"/>
          <w:sz w:val="32"/>
          <w:szCs w:val="32"/>
          <w:highlight w:val="none"/>
          <w:lang w:val="en-US" w:eastAsia="zh-CN" w:bidi="ar-SA"/>
        </w:rPr>
        <w:t>会议</w:t>
      </w:r>
      <w:r>
        <w:rPr>
          <w:rFonts w:hint="default" w:ascii="仿宋_GB2312" w:hAnsi="仿宋_GB2312" w:eastAsia="仿宋_GB2312" w:cs="仿宋_GB2312"/>
          <w:color w:val="auto"/>
          <w:kern w:val="0"/>
          <w:sz w:val="32"/>
          <w:szCs w:val="32"/>
          <w:highlight w:val="none"/>
          <w:lang w:val="en-US" w:eastAsia="zh-CN" w:bidi="ar-SA"/>
        </w:rPr>
        <w:t>进行了</w:t>
      </w:r>
      <w:r>
        <w:rPr>
          <w:rFonts w:hint="default" w:ascii="仿宋_GB2312" w:hAnsi="仿宋_GB2312" w:eastAsia="仿宋_GB2312" w:cs="仿宋_GB2312"/>
          <w:color w:val="auto"/>
          <w:kern w:val="0"/>
          <w:sz w:val="32"/>
          <w:szCs w:val="32"/>
          <w:highlight w:val="none"/>
          <w:lang w:val="en-US" w:eastAsia="zh-Hans" w:bidi="ar-SA"/>
        </w:rPr>
        <w:t>充分</w:t>
      </w:r>
      <w:r>
        <w:rPr>
          <w:rFonts w:hint="default" w:ascii="仿宋_GB2312" w:hAnsi="仿宋_GB2312" w:eastAsia="仿宋_GB2312" w:cs="仿宋_GB2312"/>
          <w:color w:val="auto"/>
          <w:kern w:val="0"/>
          <w:sz w:val="32"/>
          <w:szCs w:val="32"/>
          <w:highlight w:val="none"/>
          <w:lang w:val="en-US" w:eastAsia="zh-CN" w:bidi="ar-SA"/>
        </w:rPr>
        <w:t>交流、研讨。经过审查论证，专家组一致认为</w:t>
      </w:r>
      <w:r>
        <w:rPr>
          <w:rFonts w:hint="default" w:ascii="仿宋_GB2312" w:hAnsi="仿宋_GB2312" w:eastAsia="仿宋_GB2312" w:cs="仿宋_GB2312"/>
          <w:color w:val="auto"/>
          <w:kern w:val="0"/>
          <w:sz w:val="32"/>
          <w:szCs w:val="32"/>
          <w:highlight w:val="none"/>
          <w:lang w:val="en-US" w:eastAsia="zh-Hans" w:bidi="ar-SA"/>
        </w:rPr>
        <w:t>《</w:t>
      </w:r>
      <w:r>
        <w:rPr>
          <w:rFonts w:hint="default" w:ascii="仿宋_GB2312" w:hAnsi="仿宋_GB2312" w:eastAsia="仿宋_GB2312" w:cs="仿宋_GB2312"/>
          <w:color w:val="auto"/>
          <w:kern w:val="0"/>
          <w:sz w:val="32"/>
          <w:szCs w:val="32"/>
          <w:highlight w:val="none"/>
          <w:lang w:val="en-US" w:eastAsia="zh-CN" w:bidi="ar-SA"/>
        </w:rPr>
        <w:t>报告</w:t>
      </w:r>
      <w:r>
        <w:rPr>
          <w:rFonts w:hint="default" w:ascii="仿宋_GB2312" w:hAnsi="仿宋_GB2312" w:eastAsia="仿宋_GB2312" w:cs="仿宋_GB2312"/>
          <w:color w:val="auto"/>
          <w:kern w:val="0"/>
          <w:sz w:val="32"/>
          <w:szCs w:val="32"/>
          <w:highlight w:val="none"/>
          <w:lang w:val="en-US" w:eastAsia="zh-Hans" w:bidi="ar-SA"/>
        </w:rPr>
        <w:t>》</w:t>
      </w:r>
      <w:r>
        <w:rPr>
          <w:rFonts w:hint="default" w:ascii="仿宋_GB2312" w:hAnsi="仿宋_GB2312" w:eastAsia="仿宋_GB2312" w:cs="仿宋_GB2312"/>
          <w:color w:val="auto"/>
          <w:kern w:val="0"/>
          <w:sz w:val="32"/>
          <w:szCs w:val="32"/>
          <w:highlight w:val="none"/>
          <w:lang w:val="en-US" w:eastAsia="zh-CN" w:bidi="ar-SA"/>
        </w:rPr>
        <w:t>程序</w:t>
      </w:r>
      <w:r>
        <w:rPr>
          <w:rFonts w:hint="default" w:ascii="仿宋_GB2312" w:hAnsi="仿宋_GB2312" w:eastAsia="仿宋_GB2312" w:cs="仿宋_GB2312"/>
          <w:color w:val="auto"/>
          <w:kern w:val="0"/>
          <w:sz w:val="32"/>
          <w:szCs w:val="32"/>
          <w:highlight w:val="none"/>
          <w:lang w:val="en-US" w:eastAsia="zh-Hans" w:bidi="ar-SA"/>
        </w:rPr>
        <w:t>规范</w:t>
      </w:r>
      <w:r>
        <w:rPr>
          <w:rFonts w:hint="default" w:ascii="仿宋_GB2312" w:hAnsi="仿宋_GB2312" w:eastAsia="仿宋_GB2312" w:cs="仿宋_GB2312"/>
          <w:color w:val="auto"/>
          <w:kern w:val="0"/>
          <w:sz w:val="32"/>
          <w:szCs w:val="32"/>
          <w:highlight w:val="none"/>
          <w:lang w:val="en-US" w:eastAsia="zh-CN" w:bidi="ar-SA"/>
        </w:rPr>
        <w:t>，调研较为深入，评估标准适用，评估结论合理</w:t>
      </w:r>
      <w:r>
        <w:rPr>
          <w:rFonts w:hint="eastAsia" w:ascii="仿宋_GB2312" w:hAnsi="仿宋_GB2312" w:eastAsia="仿宋_GB2312" w:cs="仿宋_GB2312"/>
          <w:color w:val="auto"/>
          <w:kern w:val="0"/>
          <w:sz w:val="32"/>
          <w:szCs w:val="32"/>
          <w:highlight w:val="none"/>
          <w:lang w:val="en-US" w:eastAsia="zh-CN" w:bidi="ar-SA"/>
        </w:rPr>
        <w:t>，</w:t>
      </w:r>
      <w:r>
        <w:rPr>
          <w:rFonts w:hint="default" w:ascii="仿宋_GB2312" w:hAnsi="仿宋_GB2312" w:eastAsia="仿宋_GB2312" w:cs="仿宋_GB2312"/>
          <w:color w:val="auto"/>
          <w:kern w:val="0"/>
          <w:sz w:val="32"/>
          <w:szCs w:val="32"/>
          <w:highlight w:val="none"/>
          <w:lang w:val="en-US" w:eastAsia="zh-CN" w:bidi="ar-SA"/>
        </w:rPr>
        <w:t>同意《报告》通过论证。</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sectPr>
      <w:headerReference r:id="rId14" w:type="default"/>
      <w:footerReference r:id="rId15" w:type="default"/>
      <w:pgSz w:w="11906" w:h="16838"/>
      <w:pgMar w:top="567" w:right="567" w:bottom="567" w:left="567" w:header="340" w:footer="510" w:gutter="0"/>
      <w:pgBorders>
        <w:top w:val="none" w:sz="0" w:space="0"/>
        <w:left w:val="none" w:sz="0" w:space="0"/>
        <w:bottom w:val="none" w:sz="0" w:space="0"/>
        <w:right w:val="none" w:sz="0" w:space="0"/>
      </w:pgBorders>
      <w:pgNumType w:fmt="decimal"/>
      <w:cols w:space="0" w:num="1"/>
      <w:rtlGutter w:val="0"/>
      <w:docGrid w:type="lines" w:linePitch="33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CC"/>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Times New Roman Bold">
    <w:altName w:val="DejaVu Sans"/>
    <w:panose1 w:val="02020603050405020304"/>
    <w:charset w:val="00"/>
    <w:family w:val="auto"/>
    <w:pitch w:val="default"/>
    <w:sig w:usb0="00000000" w:usb1="00000000" w:usb2="00000009" w:usb3="00000000" w:csb0="400001FF" w:csb1="FFFF0000"/>
  </w:font>
  <w:font w:name="FangSong_GB2312">
    <w:altName w:val="方正仿宋_GBK"/>
    <w:panose1 w:val="02010609030101010101"/>
    <w:charset w:val="86"/>
    <w:family w:val="auto"/>
    <w:pitch w:val="default"/>
    <w:sig w:usb0="00000000" w:usb1="00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方正小标宋简体">
    <w:panose1 w:val="02000000000000000000"/>
    <w:charset w:val="86"/>
    <w:family w:val="auto"/>
    <w:pitch w:val="default"/>
    <w:sig w:usb0="A00002BF" w:usb1="184F6CFA" w:usb2="00000012" w:usb3="00000000" w:csb0="00040001"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宋体S-超大字符集">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CESI黑体-GB2312">
    <w:panose1 w:val="02000500000000000000"/>
    <w:charset w:val="86"/>
    <w:family w:val="auto"/>
    <w:pitch w:val="default"/>
    <w:sig w:usb0="800002BF" w:usb1="184F6CF8" w:usb2="00000012" w:usb3="00000000" w:csb0="0004000F" w:csb1="00000000"/>
  </w:font>
  <w:font w:name="CESI小标宋-GB2312">
    <w:panose1 w:val="02000500000000000000"/>
    <w:charset w:val="86"/>
    <w:family w:val="auto"/>
    <w:pitch w:val="default"/>
    <w:sig w:usb0="800002AF" w:usb1="084F6CF8" w:usb2="00000010" w:usb3="00000000" w:csb0="0004000F" w:csb1="00000000"/>
  </w:font>
  <w:font w:name="方正黑体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3" name="文本框63"/>
              <wp:cNvGraphicFramePr/>
              <a:graphic xmlns:a="http://schemas.openxmlformats.org/drawingml/2006/main">
                <a:graphicData uri="http://schemas.microsoft.com/office/word/2010/wordprocessingShape">
                  <wps:wsp>
                    <wps:cNvSpPr txBox="true"/>
                    <wps:spPr>
                      <a:xfrm>
                        <a:off x="0" y="0"/>
                        <a:ext cx="114935" cy="131445"/>
                      </a:xfrm>
                      <a:prstGeom prst="rect">
                        <a:avLst/>
                      </a:prstGeom>
                      <a:noFill/>
                      <a:ln>
                        <a:noFill/>
                      </a:ln>
                    </wps:spPr>
                    <wps:txbx>
                      <w:txbxContent>
                        <w:p>
                          <w:pPr>
                            <w:snapToGrid w:val="0"/>
                            <w:rPr>
                              <w:sz w:val="18"/>
                            </w:rPr>
                          </w:pPr>
                        </w:p>
                      </w:txbxContent>
                    </wps:txbx>
                    <wps:bodyPr wrap="none" lIns="0" tIns="0" rIns="0" bIns="0" upright="true">
                      <a:spAutoFit/>
                    </wps:bodyPr>
                  </wps:wsp>
                </a:graphicData>
              </a:graphic>
            </wp:anchor>
          </w:drawing>
        </mc:Choice>
        <mc:Fallback>
          <w:pict>
            <v:shape id="文本框63"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FgAAAGRy&#10;cy9QSwECFAAUAAAACACHTuJAQ+V+SdAAAAADAQAADwAAAAAAAAABACAAAAA4AAAAZHJzL2Rvd25y&#10;ZXYueG1sUEsBAhQAFAAAAAgAh07iQDrmnta3AQAATwMAAA4AAAAAAAAAAQAgAAAANQEAAGRycy9l&#10;Mm9Eb2MueG1sUEsFBgAAAAAGAAYAWQEAAF4FAAAAAA==&#10;">
              <v:fill on="f" focussize="0,0"/>
              <v:stroke on="f"/>
              <v:imagedata o:title=""/>
              <o:lock v:ext="edit" aspectratio="f"/>
              <v:textbox inset="0mm,0mm,0mm,0mm" style="mso-fit-shape-to-text:t;">
                <w:txbxContent>
                  <w:p>
                    <w:pPr>
                      <w:snapToGrid w:val="0"/>
                      <w:rPr>
                        <w:sz w:val="18"/>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eepNext w:val="0"/>
      <w:keepLines w:val="0"/>
      <w:pageBreakBefore w:val="0"/>
      <w:widowControl w:val="0"/>
      <w:pBdr>
        <w:top w:val="thickThinSmallGap" w:color="auto" w:sz="24" w:space="6"/>
      </w:pBdr>
      <w:kinsoku/>
      <w:wordWrap/>
      <w:overflowPunct/>
      <w:topLinePunct w:val="0"/>
      <w:autoSpaceDE/>
      <w:autoSpaceDN/>
      <w:bidi w:val="0"/>
      <w:adjustRightInd/>
      <w:snapToGrid/>
      <w:spacing w:line="240" w:lineRule="atLeast"/>
      <w:ind w:left="0" w:leftChars="0" w:right="0" w:rightChars="0" w:firstLine="0" w:firstLineChars="0"/>
      <w:jc w:val="left"/>
      <w:textAlignment w:val="auto"/>
      <w:outlineLvl w:val="9"/>
      <w:rPr>
        <w:rFonts w:hint="eastAsia" w:ascii="仿宋_GB2312" w:hAnsi="仿宋_GB2312" w:eastAsia="仿宋_GB2312" w:cs="仿宋_GB2312"/>
      </w:rPr>
    </w:pPr>
    <w:r>
      <w:rPr>
        <w:rFonts w:hint="eastAsia" w:ascii="仿宋_GB2312" w:hAnsi="仿宋_GB2312" w:eastAsia="仿宋_GB2312" w:cs="仿宋_GB2312"/>
      </w:rPr>
      <w:t>安徽相皖国泰风险管理咨询有限公司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eepNext w:val="0"/>
      <w:keepLines w:val="0"/>
      <w:pageBreakBefore w:val="0"/>
      <w:widowControl w:val="0"/>
      <w:pBdr>
        <w:top w:val="thickThinSmallGap" w:color="auto" w:sz="24" w:space="6"/>
      </w:pBdr>
      <w:kinsoku/>
      <w:wordWrap/>
      <w:overflowPunct/>
      <w:topLinePunct w:val="0"/>
      <w:autoSpaceDE/>
      <w:autoSpaceDN/>
      <w:bidi w:val="0"/>
      <w:adjustRightInd w:val="0"/>
      <w:snapToGrid w:val="0"/>
      <w:jc w:val="both"/>
      <w:textAlignment w:val="auto"/>
      <w:rPr>
        <w:rFonts w:hint="default" w:ascii="Times New Roman" w:hAnsi="Times New Roman" w:cs="Times New Roman"/>
      </w:rPr>
    </w:pPr>
    <w:r>
      <w:rPr>
        <w:rFonts w:hint="default"/>
        <w:lang w:eastAsia="zh-CN"/>
      </w:rPr>
      <w:t>安徽相皖国泰风险管理咨询有限公司</w:t>
    </w:r>
    <w:r>
      <w:rPr>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eepNext w:val="0"/>
      <w:keepLines w:val="0"/>
      <w:pageBreakBefore w:val="0"/>
      <w:widowControl w:val="0"/>
      <w:pBdr>
        <w:top w:val="thickThinSmallGap" w:color="auto" w:sz="24" w:space="6"/>
      </w:pBdr>
      <w:kinsoku/>
      <w:wordWrap/>
      <w:overflowPunct/>
      <w:topLinePunct w:val="0"/>
      <w:autoSpaceDE/>
      <w:autoSpaceDN/>
      <w:bidi w:val="0"/>
      <w:adjustRightInd w:val="0"/>
      <w:snapToGrid w:val="0"/>
      <w:jc w:val="both"/>
      <w:textAlignment w:val="auto"/>
      <w:rPr>
        <w:rFonts w:hint="default" w:ascii="Times New Roman" w:hAnsi="Times New Roman" w:cs="Times New Roma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MGCRB0dAgAAKwQAAA4AAAAAAAAAAQAgAAAANQ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1</w:t>
                    </w:r>
                    <w:r>
                      <w:fldChar w:fldCharType="end"/>
                    </w:r>
                  </w:p>
                </w:txbxContent>
              </v:textbox>
            </v:shape>
          </w:pict>
        </mc:Fallback>
      </mc:AlternateContent>
    </w:r>
    <w:r>
      <w:rPr>
        <w:rFonts w:hint="default"/>
        <w:lang w:eastAsia="zh-CN"/>
      </w:rPr>
      <w:t>安徽相皖国泰风险管理咨询有限公司</w:t>
    </w:r>
    <w:r>
      <w:rPr>
        <w:rFonts w:hint="eastAsia"/>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eepNext w:val="0"/>
      <w:keepLines w:val="0"/>
      <w:pageBreakBefore w:val="0"/>
      <w:widowControl w:val="0"/>
      <w:pBdr>
        <w:top w:val="thickThinSmallGap" w:color="auto" w:sz="24" w:space="6"/>
      </w:pBdr>
      <w:kinsoku/>
      <w:wordWrap/>
      <w:overflowPunct/>
      <w:topLinePunct w:val="0"/>
      <w:autoSpaceDE/>
      <w:autoSpaceDN/>
      <w:bidi w:val="0"/>
      <w:adjustRightInd w:val="0"/>
      <w:snapToGrid w:val="0"/>
      <w:jc w:val="both"/>
      <w:textAlignment w:val="auto"/>
      <w:rPr>
        <w:rFonts w:hint="eastAsia" w:ascii="仿宋_GB2312" w:hAnsi="仿宋_GB2312" w:eastAsia="仿宋_GB2312" w:cs="仿宋_GB2312"/>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B3BFp0dAgAAKwQAAA4AAAAAAAAAAQAgAAAANQ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20</w:t>
                    </w:r>
                    <w:r>
                      <w:fldChar w:fldCharType="end"/>
                    </w:r>
                  </w:p>
                </w:txbxContent>
              </v:textbox>
            </v:shape>
          </w:pict>
        </mc:Fallback>
      </mc:AlternateContent>
    </w:r>
    <w:r>
      <w:rPr>
        <w:rFonts w:hint="eastAsia" w:ascii="仿宋_GB2312" w:hAnsi="仿宋_GB2312" w:eastAsia="仿宋_GB2312" w:cs="仿宋_GB2312"/>
        <w:lang w:eastAsia="zh-CN"/>
      </w:rPr>
      <w:t>安徽相皖国泰风险管理咨询有限公司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keepNext w:val="0"/>
      <w:keepLines w:val="0"/>
      <w:pageBreakBefore w:val="0"/>
      <w:widowControl w:val="0"/>
      <w:pBdr>
        <w:top w:val="thickThinSmallGap" w:color="auto" w:sz="24" w:space="6"/>
      </w:pBdr>
      <w:kinsoku/>
      <w:wordWrap/>
      <w:overflowPunct/>
      <w:topLinePunct w:val="0"/>
      <w:autoSpaceDE/>
      <w:autoSpaceDN/>
      <w:bidi w:val="0"/>
      <w:adjustRightInd w:val="0"/>
      <w:snapToGrid w:val="0"/>
      <w:jc w:val="both"/>
      <w:textAlignment w:val="auto"/>
      <w:rPr>
        <w:rFonts w:hint="eastAsia" w:ascii="仿宋_GB2312" w:hAnsi="仿宋_GB2312" w:eastAsia="仿宋_GB2312" w:cs="仿宋_GB2312"/>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27</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G8D8CEdAgAAKwQAAA4AAAAAAAAAAQAgAAAANQ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27</w:t>
                    </w:r>
                    <w:r>
                      <w:fldChar w:fldCharType="end"/>
                    </w:r>
                  </w:p>
                </w:txbxContent>
              </v:textbox>
            </v:shape>
          </w:pict>
        </mc:Fallback>
      </mc:AlternateContent>
    </w:r>
    <w:r>
      <w:rPr>
        <w:rFonts w:hint="eastAsia" w:ascii="仿宋_GB2312" w:hAnsi="仿宋_GB2312" w:eastAsia="仿宋_GB2312" w:cs="仿宋_GB2312"/>
        <w:lang w:eastAsia="zh-CN"/>
      </w:rPr>
      <w:t>安徽相皖国泰风险管理咨询有限公司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rPr>
        <w:rFonts w:hint="eastAsia"/>
        <w:lang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24" w:space="1"/>
      </w:pBdr>
      <w:rPr>
        <w:rFonts w:hint="default" w:ascii="Times New Roman" w:hAnsi="Times New Roman" w:cs="Times New Roman"/>
        <w:shd w:val="clear" w:color="auto" w:fill="FFFFFF"/>
      </w:rPr>
    </w:pPr>
    <w:r>
      <w:rPr>
        <w:rFonts w:hint="eastAsia" w:ascii="Times New Roman" w:hAnsi="Times New Roman" w:cs="Times New Roman"/>
        <w:lang w:val="en-US" w:eastAsia="zh-CN"/>
      </w:rPr>
      <w:t>《淮北市城市更新暂行办法》</w:t>
    </w:r>
    <w:r>
      <w:rPr>
        <w:rFonts w:hint="eastAsia" w:ascii="Times New Roman" w:hAnsi="Times New Roman" w:cs="Times New Roman"/>
        <w:lang w:eastAsia="zh-CN"/>
      </w:rPr>
      <w:t>决策实施后评估报告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24" w:space="1"/>
      </w:pBdr>
      <w:rPr>
        <w:rFonts w:hint="default" w:ascii="Times New Roman" w:hAnsi="Times New Roman" w:cs="Times New Roman"/>
        <w:shd w:val="clear" w:color="auto" w:fill="FFFFFF"/>
      </w:rPr>
    </w:pPr>
    <w:r>
      <w:rPr>
        <w:rFonts w:hint="eastAsia" w:ascii="Times New Roman" w:hAnsi="Times New Roman" w:cs="Times New Roman"/>
        <w:shd w:val="clear" w:color="auto" w:fill="FFFFFF"/>
        <w:lang w:eastAsia="zh-CN"/>
      </w:rPr>
      <w:t>《淮北市城市更新暂行办法》决策实施后评估报告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thinThickSmallGap" w:color="auto" w:sz="24" w:space="1"/>
      </w:pBdr>
      <w:tabs>
        <w:tab w:val="center" w:pos="4153"/>
        <w:tab w:val="right" w:pos="8306"/>
      </w:tabs>
      <w:snapToGrid w:val="0"/>
      <w:jc w:val="center"/>
      <w:rPr>
        <w:rFonts w:hint="eastAsia" w:ascii="仿宋_GB2312" w:hAnsi="仿宋_GB2312" w:eastAsia="仿宋_GB2312" w:cs="仿宋_GB2312"/>
        <w:kern w:val="2"/>
        <w:sz w:val="18"/>
        <w:szCs w:val="18"/>
        <w:shd w:val="clear" w:color="auto" w:fill="FFFFFF"/>
        <w:lang w:val="en-US" w:eastAsia="zh-CN" w:bidi="ar-SA"/>
      </w:rPr>
    </w:pPr>
    <w:r>
      <w:rPr>
        <w:rFonts w:hint="eastAsia" w:ascii="仿宋_GB2312" w:hAnsi="仿宋_GB2312" w:eastAsia="仿宋_GB2312" w:cs="仿宋_GB2312"/>
        <w:kern w:val="2"/>
        <w:sz w:val="18"/>
        <w:szCs w:val="18"/>
        <w:shd w:val="clear" w:color="auto" w:fill="FFFFFF"/>
        <w:lang w:val="en-US" w:eastAsia="zh-CN" w:bidi="ar-SA"/>
      </w:rPr>
      <w:t>《淮北市城市更新暂行办法》决策实施后评估报告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thinThickSmallGap" w:color="auto" w:sz="24" w:space="1"/>
      </w:pBdr>
      <w:snapToGrid w:val="0"/>
      <w:jc w:val="center"/>
      <w:rPr>
        <w:rFonts w:hint="eastAsia" w:ascii="仿宋_GB2312" w:hAnsi="仿宋_GB2312" w:eastAsia="仿宋_GB2312" w:cs="仿宋_GB2312"/>
        <w:kern w:val="2"/>
        <w:sz w:val="18"/>
        <w:szCs w:val="18"/>
        <w:shd w:val="clear" w:color="auto" w:fill="FFFFFF"/>
        <w:lang w:val="en-US" w:eastAsia="zh-CN" w:bidi="ar-SA"/>
      </w:rPr>
    </w:pPr>
    <w:r>
      <w:rPr>
        <w:rFonts w:hint="eastAsia" w:ascii="仿宋_GB2312" w:hAnsi="仿宋_GB2312" w:eastAsia="仿宋_GB2312" w:cs="仿宋_GB2312"/>
        <w:kern w:val="2"/>
        <w:sz w:val="18"/>
        <w:szCs w:val="18"/>
        <w:shd w:val="clear" w:color="auto" w:fill="FFFFFF"/>
        <w:lang w:val="en-US" w:eastAsia="zh-CN" w:bidi="ar-SA"/>
      </w:rPr>
      <w:t>《淮北市城市更新暂行办法》决策实施后评估报告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24" w:space="1"/>
      </w:pBdr>
      <w:rPr>
        <w:rFonts w:hint="eastAsia" w:ascii="仿宋_GB2312" w:hAnsi="仿宋_GB2312" w:eastAsia="仿宋_GB2312" w:cs="仿宋_GB2312"/>
        <w:shd w:val="clear" w:color="auto" w:fill="FFFFFF"/>
        <w:lang w:val="en-US" w:eastAsia="zh-CN"/>
      </w:rPr>
    </w:pPr>
    <w:r>
      <w:rPr>
        <w:rFonts w:hint="eastAsia" w:ascii="仿宋_GB2312" w:hAnsi="仿宋_GB2312" w:eastAsia="仿宋_GB2312" w:cs="仿宋_GB2312"/>
        <w:shd w:val="clear" w:color="auto" w:fill="FFFFFF"/>
        <w:lang w:eastAsia="zh-CN"/>
      </w:rPr>
      <w:t>《淮北市城市更新暂行办法》决策实施后评估报告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6ED844"/>
    <w:multiLevelType w:val="singleLevel"/>
    <w:tmpl w:val="B76ED844"/>
    <w:lvl w:ilvl="0" w:tentative="0">
      <w:start w:val="1"/>
      <w:numFmt w:val="chineseCounting"/>
      <w:suff w:val="nothing"/>
      <w:lvlText w:val="%1、"/>
      <w:lvlJc w:val="left"/>
      <w:rPr>
        <w:rFonts w:hint="eastAsia"/>
        <w:sz w:val="32"/>
        <w:szCs w:val="32"/>
      </w:rPr>
    </w:lvl>
  </w:abstractNum>
  <w:abstractNum w:abstractNumId="1">
    <w:nsid w:val="BAEFE107"/>
    <w:multiLevelType w:val="singleLevel"/>
    <w:tmpl w:val="BAEFE107"/>
    <w:lvl w:ilvl="0" w:tentative="0">
      <w:start w:val="1"/>
      <w:numFmt w:val="decimal"/>
      <w:suff w:val="nothing"/>
      <w:lvlText w:val="%1．"/>
      <w:lvlJc w:val="left"/>
      <w:pPr>
        <w:ind w:left="0" w:firstLine="400"/>
      </w:pPr>
      <w:rPr>
        <w:rFonts w:hint="default"/>
      </w:rPr>
    </w:lvl>
  </w:abstractNum>
  <w:abstractNum w:abstractNumId="2">
    <w:nsid w:val="CA50AFAD"/>
    <w:multiLevelType w:val="singleLevel"/>
    <w:tmpl w:val="CA50AFAD"/>
    <w:lvl w:ilvl="0" w:tentative="0">
      <w:start w:val="1"/>
      <w:numFmt w:val="decimal"/>
      <w:suff w:val="nothing"/>
      <w:lvlText w:val="%1．"/>
      <w:lvlJc w:val="left"/>
      <w:pPr>
        <w:ind w:left="0" w:firstLine="400"/>
      </w:pPr>
      <w:rPr>
        <w:rFonts w:hint="default"/>
      </w:rPr>
    </w:lvl>
  </w:abstractNum>
  <w:abstractNum w:abstractNumId="3">
    <w:nsid w:val="DED7A345"/>
    <w:multiLevelType w:val="singleLevel"/>
    <w:tmpl w:val="DED7A345"/>
    <w:lvl w:ilvl="0" w:tentative="0">
      <w:start w:val="5"/>
      <w:numFmt w:val="chineseCounting"/>
      <w:suff w:val="nothing"/>
      <w:lvlText w:val="%1、"/>
      <w:lvlJc w:val="left"/>
      <w:rPr>
        <w:rFonts w:hint="eastAsia"/>
        <w:b/>
        <w:bCs/>
      </w:rPr>
    </w:lvl>
  </w:abstractNum>
  <w:abstractNum w:abstractNumId="4">
    <w:nsid w:val="E0E78D45"/>
    <w:multiLevelType w:val="singleLevel"/>
    <w:tmpl w:val="E0E78D45"/>
    <w:lvl w:ilvl="0" w:tentative="0">
      <w:start w:val="1"/>
      <w:numFmt w:val="decimal"/>
      <w:suff w:val="nothing"/>
      <w:lvlText w:val="%1．"/>
      <w:lvlJc w:val="left"/>
      <w:pPr>
        <w:ind w:left="0" w:firstLine="400"/>
      </w:pPr>
      <w:rPr>
        <w:rFonts w:hint="default"/>
      </w:rPr>
    </w:lvl>
  </w:abstractNum>
  <w:abstractNum w:abstractNumId="5">
    <w:nsid w:val="F601C965"/>
    <w:multiLevelType w:val="singleLevel"/>
    <w:tmpl w:val="F601C965"/>
    <w:lvl w:ilvl="0" w:tentative="0">
      <w:start w:val="1"/>
      <w:numFmt w:val="decimal"/>
      <w:suff w:val="nothing"/>
      <w:lvlText w:val="%1．"/>
      <w:lvlJc w:val="left"/>
      <w:pPr>
        <w:ind w:left="0" w:firstLine="400"/>
      </w:pPr>
      <w:rPr>
        <w:rFonts w:hint="default"/>
      </w:rPr>
    </w:lvl>
  </w:abstractNum>
  <w:abstractNum w:abstractNumId="6">
    <w:nsid w:val="0EFC64F1"/>
    <w:multiLevelType w:val="singleLevel"/>
    <w:tmpl w:val="0EFC64F1"/>
    <w:lvl w:ilvl="0" w:tentative="0">
      <w:start w:val="1"/>
      <w:numFmt w:val="decimal"/>
      <w:suff w:val="nothing"/>
      <w:lvlText w:val="%1．"/>
      <w:lvlJc w:val="left"/>
      <w:pPr>
        <w:ind w:left="0" w:firstLine="400"/>
      </w:pPr>
      <w:rPr>
        <w:rFonts w:hint="default"/>
      </w:rPr>
    </w:lvl>
  </w:abstractNum>
  <w:abstractNum w:abstractNumId="7">
    <w:nsid w:val="24CAC7F1"/>
    <w:multiLevelType w:val="singleLevel"/>
    <w:tmpl w:val="24CAC7F1"/>
    <w:lvl w:ilvl="0" w:tentative="0">
      <w:start w:val="1"/>
      <w:numFmt w:val="decimal"/>
      <w:suff w:val="nothing"/>
      <w:lvlText w:val="%1．"/>
      <w:lvlJc w:val="left"/>
      <w:pPr>
        <w:ind w:left="0" w:firstLine="400"/>
      </w:pPr>
      <w:rPr>
        <w:rFonts w:hint="default"/>
        <w:sz w:val="32"/>
        <w:szCs w:val="32"/>
      </w:rPr>
    </w:lvl>
  </w:abstractNum>
  <w:abstractNum w:abstractNumId="8">
    <w:nsid w:val="32364986"/>
    <w:multiLevelType w:val="singleLevel"/>
    <w:tmpl w:val="32364986"/>
    <w:lvl w:ilvl="0" w:tentative="0">
      <w:start w:val="1"/>
      <w:numFmt w:val="decimal"/>
      <w:suff w:val="nothing"/>
      <w:lvlText w:val="%1．"/>
      <w:lvlJc w:val="left"/>
      <w:pPr>
        <w:ind w:left="0" w:firstLine="400"/>
      </w:pPr>
      <w:rPr>
        <w:rFonts w:hint="default"/>
      </w:rPr>
    </w:lvl>
  </w:abstractNum>
  <w:abstractNum w:abstractNumId="9">
    <w:nsid w:val="407EE818"/>
    <w:multiLevelType w:val="singleLevel"/>
    <w:tmpl w:val="407EE818"/>
    <w:lvl w:ilvl="0" w:tentative="0">
      <w:start w:val="1"/>
      <w:numFmt w:val="decimal"/>
      <w:suff w:val="nothing"/>
      <w:lvlText w:val="%1．"/>
      <w:lvlJc w:val="left"/>
      <w:pPr>
        <w:ind w:left="0" w:firstLine="400"/>
      </w:pPr>
      <w:rPr>
        <w:rFonts w:hint="default"/>
      </w:rPr>
    </w:lvl>
  </w:abstractNum>
  <w:abstractNum w:abstractNumId="10">
    <w:nsid w:val="69A0E95D"/>
    <w:multiLevelType w:val="singleLevel"/>
    <w:tmpl w:val="69A0E95D"/>
    <w:lvl w:ilvl="0" w:tentative="0">
      <w:start w:val="1"/>
      <w:numFmt w:val="decimal"/>
      <w:suff w:val="nothing"/>
      <w:lvlText w:val="%1．"/>
      <w:lvlJc w:val="left"/>
      <w:pPr>
        <w:ind w:left="0" w:firstLine="400"/>
      </w:pPr>
      <w:rPr>
        <w:rFonts w:hint="default"/>
      </w:rPr>
    </w:lvl>
  </w:abstractNum>
  <w:abstractNum w:abstractNumId="11">
    <w:nsid w:val="7DAA7F0B"/>
    <w:multiLevelType w:val="singleLevel"/>
    <w:tmpl w:val="7DAA7F0B"/>
    <w:lvl w:ilvl="0" w:tentative="0">
      <w:start w:val="1"/>
      <w:numFmt w:val="decimal"/>
      <w:lvlText w:val="%1."/>
      <w:lvlJc w:val="left"/>
      <w:pPr>
        <w:tabs>
          <w:tab w:val="left" w:pos="312"/>
        </w:tabs>
      </w:pPr>
    </w:lvl>
  </w:abstractNum>
  <w:abstractNum w:abstractNumId="12">
    <w:nsid w:val="7ED88F35"/>
    <w:multiLevelType w:val="singleLevel"/>
    <w:tmpl w:val="7ED88F35"/>
    <w:lvl w:ilvl="0" w:tentative="0">
      <w:start w:val="1"/>
      <w:numFmt w:val="decimal"/>
      <w:suff w:val="space"/>
      <w:lvlText w:val="%1."/>
      <w:lvlJc w:val="left"/>
      <w:rPr>
        <w:rFonts w:hint="default"/>
        <w:b/>
        <w:bCs/>
      </w:rPr>
    </w:lvl>
  </w:abstractNum>
  <w:num w:numId="1">
    <w:abstractNumId w:val="3"/>
  </w:num>
  <w:num w:numId="2">
    <w:abstractNumId w:val="0"/>
  </w:num>
  <w:num w:numId="3">
    <w:abstractNumId w:val="7"/>
  </w:num>
  <w:num w:numId="4">
    <w:abstractNumId w:val="2"/>
  </w:num>
  <w:num w:numId="5">
    <w:abstractNumId w:val="6"/>
  </w:num>
  <w:num w:numId="6">
    <w:abstractNumId w:val="8"/>
  </w:num>
  <w:num w:numId="7">
    <w:abstractNumId w:val="12"/>
  </w:num>
  <w:num w:numId="8">
    <w:abstractNumId w:val="1"/>
  </w:num>
  <w:num w:numId="9">
    <w:abstractNumId w:val="10"/>
  </w:num>
  <w:num w:numId="10">
    <w:abstractNumId w:val="5"/>
  </w:num>
  <w:num w:numId="11">
    <w:abstractNumId w:val="9"/>
  </w:num>
  <w:num w:numId="12">
    <w:abstractNumId w:val="4"/>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false"/>
  <w:bordersDoNotSurroundFooter w:val="false"/>
  <w:documentProtection w:enforcement="0"/>
  <w:defaultTabStop w:val="420"/>
  <w:drawingGridHorizontalSpacing w:val="21"/>
  <w:drawingGridVerticalSpacing w:val="33"/>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NkMjk2ZjI2OTk2MWI5OTQ0YjkxZDljNDAwNjI1OTIifQ=="/>
  </w:docVars>
  <w:rsids>
    <w:rsidRoot w:val="00172A27"/>
    <w:rsid w:val="00172A27"/>
    <w:rsid w:val="00304D07"/>
    <w:rsid w:val="00352D21"/>
    <w:rsid w:val="003D6E87"/>
    <w:rsid w:val="004810F5"/>
    <w:rsid w:val="00590AB5"/>
    <w:rsid w:val="006A0014"/>
    <w:rsid w:val="007F4B6E"/>
    <w:rsid w:val="007F6B75"/>
    <w:rsid w:val="00E22F63"/>
    <w:rsid w:val="00EE6628"/>
    <w:rsid w:val="01620A5B"/>
    <w:rsid w:val="01D95A09"/>
    <w:rsid w:val="01FD4469"/>
    <w:rsid w:val="023C073B"/>
    <w:rsid w:val="026305F6"/>
    <w:rsid w:val="02BA33C7"/>
    <w:rsid w:val="02C848FD"/>
    <w:rsid w:val="02F82726"/>
    <w:rsid w:val="030119D2"/>
    <w:rsid w:val="038F1A7B"/>
    <w:rsid w:val="03AB2E7A"/>
    <w:rsid w:val="03AD10CF"/>
    <w:rsid w:val="03CD05F5"/>
    <w:rsid w:val="03CF74C1"/>
    <w:rsid w:val="03FB03BA"/>
    <w:rsid w:val="04063D04"/>
    <w:rsid w:val="042A101F"/>
    <w:rsid w:val="044E14B6"/>
    <w:rsid w:val="046B1CC7"/>
    <w:rsid w:val="047E05B7"/>
    <w:rsid w:val="049141CE"/>
    <w:rsid w:val="04974066"/>
    <w:rsid w:val="049F6DB4"/>
    <w:rsid w:val="04D132EA"/>
    <w:rsid w:val="04F35349"/>
    <w:rsid w:val="04F95BA3"/>
    <w:rsid w:val="05152A51"/>
    <w:rsid w:val="053E2096"/>
    <w:rsid w:val="054226C3"/>
    <w:rsid w:val="05585425"/>
    <w:rsid w:val="057B7E71"/>
    <w:rsid w:val="05820021"/>
    <w:rsid w:val="058A1196"/>
    <w:rsid w:val="05B222DF"/>
    <w:rsid w:val="05FB191F"/>
    <w:rsid w:val="063D4F24"/>
    <w:rsid w:val="06600C48"/>
    <w:rsid w:val="067F1C4D"/>
    <w:rsid w:val="06D75882"/>
    <w:rsid w:val="074A6859"/>
    <w:rsid w:val="07554E49"/>
    <w:rsid w:val="0795071A"/>
    <w:rsid w:val="07A97BFE"/>
    <w:rsid w:val="07AA6192"/>
    <w:rsid w:val="07B54DDB"/>
    <w:rsid w:val="07BF543E"/>
    <w:rsid w:val="07C07E70"/>
    <w:rsid w:val="07C46FEC"/>
    <w:rsid w:val="08516E68"/>
    <w:rsid w:val="08985C7B"/>
    <w:rsid w:val="09077661"/>
    <w:rsid w:val="0913264A"/>
    <w:rsid w:val="094053B0"/>
    <w:rsid w:val="094B3B92"/>
    <w:rsid w:val="09710047"/>
    <w:rsid w:val="09795C5D"/>
    <w:rsid w:val="098A290C"/>
    <w:rsid w:val="098B1592"/>
    <w:rsid w:val="09952E12"/>
    <w:rsid w:val="099C73FA"/>
    <w:rsid w:val="09A339B8"/>
    <w:rsid w:val="09B3646B"/>
    <w:rsid w:val="0A006B78"/>
    <w:rsid w:val="0A3E2035"/>
    <w:rsid w:val="0A6B3EAF"/>
    <w:rsid w:val="0ACF4123"/>
    <w:rsid w:val="0B08695F"/>
    <w:rsid w:val="0B46462D"/>
    <w:rsid w:val="0B7F3FC7"/>
    <w:rsid w:val="0B837200"/>
    <w:rsid w:val="0B8E420A"/>
    <w:rsid w:val="0B98121B"/>
    <w:rsid w:val="0BB33BCE"/>
    <w:rsid w:val="0BBDA2F7"/>
    <w:rsid w:val="0C040DDF"/>
    <w:rsid w:val="0C302C8F"/>
    <w:rsid w:val="0C7708AE"/>
    <w:rsid w:val="0C915532"/>
    <w:rsid w:val="0CE67D18"/>
    <w:rsid w:val="0D1372C9"/>
    <w:rsid w:val="0D4A26D3"/>
    <w:rsid w:val="0D556D8D"/>
    <w:rsid w:val="0D5F2FD2"/>
    <w:rsid w:val="0D702E90"/>
    <w:rsid w:val="0DBC4D51"/>
    <w:rsid w:val="0DCD0C90"/>
    <w:rsid w:val="0DE43629"/>
    <w:rsid w:val="0DF02F5A"/>
    <w:rsid w:val="0E032AD9"/>
    <w:rsid w:val="0E4C02D7"/>
    <w:rsid w:val="0E7417D6"/>
    <w:rsid w:val="0E8105EE"/>
    <w:rsid w:val="0E872E6B"/>
    <w:rsid w:val="0E944F4E"/>
    <w:rsid w:val="0EBE1F5B"/>
    <w:rsid w:val="0ECFBE08"/>
    <w:rsid w:val="0EF82120"/>
    <w:rsid w:val="0F16254C"/>
    <w:rsid w:val="0F2E029B"/>
    <w:rsid w:val="0F462FF6"/>
    <w:rsid w:val="0F5E6570"/>
    <w:rsid w:val="0F872F52"/>
    <w:rsid w:val="0F9A62B5"/>
    <w:rsid w:val="0FC65D20"/>
    <w:rsid w:val="0FD22530"/>
    <w:rsid w:val="0FFD3A20"/>
    <w:rsid w:val="106E564E"/>
    <w:rsid w:val="10967CB6"/>
    <w:rsid w:val="10A21D47"/>
    <w:rsid w:val="10C304B2"/>
    <w:rsid w:val="10DD7565"/>
    <w:rsid w:val="11124A42"/>
    <w:rsid w:val="116D1554"/>
    <w:rsid w:val="11B20C52"/>
    <w:rsid w:val="11F358D5"/>
    <w:rsid w:val="1229756A"/>
    <w:rsid w:val="128F1C9B"/>
    <w:rsid w:val="12B008F7"/>
    <w:rsid w:val="12E5372A"/>
    <w:rsid w:val="12EF0403"/>
    <w:rsid w:val="12EF2484"/>
    <w:rsid w:val="133E2072"/>
    <w:rsid w:val="134E50DC"/>
    <w:rsid w:val="136042C1"/>
    <w:rsid w:val="137E7627"/>
    <w:rsid w:val="13816A12"/>
    <w:rsid w:val="13850564"/>
    <w:rsid w:val="13FD017F"/>
    <w:rsid w:val="1413478D"/>
    <w:rsid w:val="1424307D"/>
    <w:rsid w:val="14852F8A"/>
    <w:rsid w:val="14883EEC"/>
    <w:rsid w:val="148937C0"/>
    <w:rsid w:val="14981F8C"/>
    <w:rsid w:val="14A63247"/>
    <w:rsid w:val="14C80483"/>
    <w:rsid w:val="14DD10E2"/>
    <w:rsid w:val="14EC3415"/>
    <w:rsid w:val="15177677"/>
    <w:rsid w:val="15606550"/>
    <w:rsid w:val="15891A95"/>
    <w:rsid w:val="15B80DF3"/>
    <w:rsid w:val="15C745A0"/>
    <w:rsid w:val="15D867AD"/>
    <w:rsid w:val="163B274A"/>
    <w:rsid w:val="163F0BC3"/>
    <w:rsid w:val="16E51B2C"/>
    <w:rsid w:val="17296EDE"/>
    <w:rsid w:val="17326391"/>
    <w:rsid w:val="1764646D"/>
    <w:rsid w:val="1787144E"/>
    <w:rsid w:val="17982CA9"/>
    <w:rsid w:val="17DA796E"/>
    <w:rsid w:val="17E41F4E"/>
    <w:rsid w:val="1877663B"/>
    <w:rsid w:val="18955154"/>
    <w:rsid w:val="189C3294"/>
    <w:rsid w:val="18A94FC2"/>
    <w:rsid w:val="18E21FB4"/>
    <w:rsid w:val="190C3138"/>
    <w:rsid w:val="19290C12"/>
    <w:rsid w:val="1949671B"/>
    <w:rsid w:val="19A15D83"/>
    <w:rsid w:val="19B66BAA"/>
    <w:rsid w:val="19C233E3"/>
    <w:rsid w:val="19E37264"/>
    <w:rsid w:val="1A422DFC"/>
    <w:rsid w:val="1A7B6CEC"/>
    <w:rsid w:val="1A7D6A70"/>
    <w:rsid w:val="1A8E2464"/>
    <w:rsid w:val="1ADC34BA"/>
    <w:rsid w:val="1AF463A6"/>
    <w:rsid w:val="1B2B0CFE"/>
    <w:rsid w:val="1B2C484A"/>
    <w:rsid w:val="1B4217AD"/>
    <w:rsid w:val="1B8957C2"/>
    <w:rsid w:val="1BA07D6D"/>
    <w:rsid w:val="1BA84E74"/>
    <w:rsid w:val="1BAB04C0"/>
    <w:rsid w:val="1BF12377"/>
    <w:rsid w:val="1BF72E6E"/>
    <w:rsid w:val="1BF81E77"/>
    <w:rsid w:val="1BFF3BEC"/>
    <w:rsid w:val="1C5363CB"/>
    <w:rsid w:val="1CCB40CA"/>
    <w:rsid w:val="1CEB6DC6"/>
    <w:rsid w:val="1D596426"/>
    <w:rsid w:val="1D704D7F"/>
    <w:rsid w:val="1DA340A5"/>
    <w:rsid w:val="1DA464A5"/>
    <w:rsid w:val="1DB43E72"/>
    <w:rsid w:val="1DBB7BBC"/>
    <w:rsid w:val="1DBF7D12"/>
    <w:rsid w:val="1E1E4F79"/>
    <w:rsid w:val="1E700DCA"/>
    <w:rsid w:val="1EC86317"/>
    <w:rsid w:val="1ED41ADC"/>
    <w:rsid w:val="1F361EC9"/>
    <w:rsid w:val="1F4377A5"/>
    <w:rsid w:val="1F806456"/>
    <w:rsid w:val="1FBE72AD"/>
    <w:rsid w:val="1FF216F1"/>
    <w:rsid w:val="202A7DFC"/>
    <w:rsid w:val="206F14B5"/>
    <w:rsid w:val="20992FDD"/>
    <w:rsid w:val="20FD76C5"/>
    <w:rsid w:val="21025026"/>
    <w:rsid w:val="21261707"/>
    <w:rsid w:val="21B51632"/>
    <w:rsid w:val="21FF3FE2"/>
    <w:rsid w:val="223F57F7"/>
    <w:rsid w:val="224D03A0"/>
    <w:rsid w:val="22821263"/>
    <w:rsid w:val="22926844"/>
    <w:rsid w:val="229E2B2D"/>
    <w:rsid w:val="22EF7BEC"/>
    <w:rsid w:val="230B5705"/>
    <w:rsid w:val="231B5F2B"/>
    <w:rsid w:val="23265DE9"/>
    <w:rsid w:val="23423AC5"/>
    <w:rsid w:val="234E0BD6"/>
    <w:rsid w:val="235D423C"/>
    <w:rsid w:val="237F5F02"/>
    <w:rsid w:val="23AC0C12"/>
    <w:rsid w:val="23B0203B"/>
    <w:rsid w:val="23D6742C"/>
    <w:rsid w:val="23DB11D2"/>
    <w:rsid w:val="23F33993"/>
    <w:rsid w:val="23FA48FE"/>
    <w:rsid w:val="241434A1"/>
    <w:rsid w:val="241D0EC1"/>
    <w:rsid w:val="246E3AC2"/>
    <w:rsid w:val="247C19B0"/>
    <w:rsid w:val="24864336"/>
    <w:rsid w:val="248754F4"/>
    <w:rsid w:val="24F353B2"/>
    <w:rsid w:val="252E1B4A"/>
    <w:rsid w:val="253205F5"/>
    <w:rsid w:val="25666648"/>
    <w:rsid w:val="256B13EC"/>
    <w:rsid w:val="25AB3136"/>
    <w:rsid w:val="25F80FBB"/>
    <w:rsid w:val="2622692B"/>
    <w:rsid w:val="26236584"/>
    <w:rsid w:val="26477354"/>
    <w:rsid w:val="26524311"/>
    <w:rsid w:val="267F4FF8"/>
    <w:rsid w:val="26C9103C"/>
    <w:rsid w:val="26CD7BF1"/>
    <w:rsid w:val="26F51A7A"/>
    <w:rsid w:val="27193177"/>
    <w:rsid w:val="276823BA"/>
    <w:rsid w:val="276A56AA"/>
    <w:rsid w:val="27A0263F"/>
    <w:rsid w:val="28026C57"/>
    <w:rsid w:val="28132187"/>
    <w:rsid w:val="28574E6A"/>
    <w:rsid w:val="2898543C"/>
    <w:rsid w:val="28E434BB"/>
    <w:rsid w:val="292B0388"/>
    <w:rsid w:val="295D5E21"/>
    <w:rsid w:val="296E155A"/>
    <w:rsid w:val="29842A7C"/>
    <w:rsid w:val="29E211BB"/>
    <w:rsid w:val="2A010B3E"/>
    <w:rsid w:val="2A1956F3"/>
    <w:rsid w:val="2A274C8E"/>
    <w:rsid w:val="2A541983"/>
    <w:rsid w:val="2A600384"/>
    <w:rsid w:val="2AA87685"/>
    <w:rsid w:val="2AB05EFF"/>
    <w:rsid w:val="2AC05F74"/>
    <w:rsid w:val="2B2E3BED"/>
    <w:rsid w:val="2B450923"/>
    <w:rsid w:val="2B481922"/>
    <w:rsid w:val="2B6D4273"/>
    <w:rsid w:val="2B6E7BEF"/>
    <w:rsid w:val="2B76042B"/>
    <w:rsid w:val="2BE73A3B"/>
    <w:rsid w:val="2C2F2091"/>
    <w:rsid w:val="2C3B2F7C"/>
    <w:rsid w:val="2C5F74FB"/>
    <w:rsid w:val="2C626979"/>
    <w:rsid w:val="2CA9783B"/>
    <w:rsid w:val="2CD81212"/>
    <w:rsid w:val="2CED3F8A"/>
    <w:rsid w:val="2D01257B"/>
    <w:rsid w:val="2D36318C"/>
    <w:rsid w:val="2DA910D7"/>
    <w:rsid w:val="2DAB43D5"/>
    <w:rsid w:val="2DD13DB6"/>
    <w:rsid w:val="2DE7289C"/>
    <w:rsid w:val="2DFF9F1D"/>
    <w:rsid w:val="2E055ADA"/>
    <w:rsid w:val="2E33681F"/>
    <w:rsid w:val="2E363BB3"/>
    <w:rsid w:val="2E42168C"/>
    <w:rsid w:val="2E4F2F2D"/>
    <w:rsid w:val="2E697FC3"/>
    <w:rsid w:val="2E9A42EC"/>
    <w:rsid w:val="2EB532C1"/>
    <w:rsid w:val="2EBB52D1"/>
    <w:rsid w:val="2EC95087"/>
    <w:rsid w:val="2EDB768F"/>
    <w:rsid w:val="2F0D514F"/>
    <w:rsid w:val="2F3A425D"/>
    <w:rsid w:val="2F3F4F38"/>
    <w:rsid w:val="2F3FD076"/>
    <w:rsid w:val="2F4B048C"/>
    <w:rsid w:val="2F5E2AB7"/>
    <w:rsid w:val="2F7B426A"/>
    <w:rsid w:val="2F7E1608"/>
    <w:rsid w:val="2FAB586C"/>
    <w:rsid w:val="2FC937EB"/>
    <w:rsid w:val="2FFBCBBE"/>
    <w:rsid w:val="301D1BD5"/>
    <w:rsid w:val="309D1B0B"/>
    <w:rsid w:val="30AC738E"/>
    <w:rsid w:val="30E7525E"/>
    <w:rsid w:val="30EF34FC"/>
    <w:rsid w:val="31086588"/>
    <w:rsid w:val="31402C96"/>
    <w:rsid w:val="315549DA"/>
    <w:rsid w:val="31752D1A"/>
    <w:rsid w:val="317C3EB8"/>
    <w:rsid w:val="319C38C4"/>
    <w:rsid w:val="319E2AFC"/>
    <w:rsid w:val="31A81AEB"/>
    <w:rsid w:val="31BE24BA"/>
    <w:rsid w:val="31ED3189"/>
    <w:rsid w:val="32366958"/>
    <w:rsid w:val="323A4C38"/>
    <w:rsid w:val="325073B4"/>
    <w:rsid w:val="326C28B5"/>
    <w:rsid w:val="329FC70D"/>
    <w:rsid w:val="32A175D6"/>
    <w:rsid w:val="32AA5747"/>
    <w:rsid w:val="32B72826"/>
    <w:rsid w:val="32FE4074"/>
    <w:rsid w:val="3330731C"/>
    <w:rsid w:val="333F5A90"/>
    <w:rsid w:val="336054FE"/>
    <w:rsid w:val="33727C26"/>
    <w:rsid w:val="33BA4C48"/>
    <w:rsid w:val="34127A9D"/>
    <w:rsid w:val="34583820"/>
    <w:rsid w:val="34A7571D"/>
    <w:rsid w:val="34CA058B"/>
    <w:rsid w:val="34D214DF"/>
    <w:rsid w:val="34DE1140"/>
    <w:rsid w:val="350154D6"/>
    <w:rsid w:val="35160F1B"/>
    <w:rsid w:val="353F17F3"/>
    <w:rsid w:val="358F396B"/>
    <w:rsid w:val="35942299"/>
    <w:rsid w:val="35C3032C"/>
    <w:rsid w:val="35C42453"/>
    <w:rsid w:val="35E7555B"/>
    <w:rsid w:val="3611398D"/>
    <w:rsid w:val="362E1574"/>
    <w:rsid w:val="363C4E76"/>
    <w:rsid w:val="369614E1"/>
    <w:rsid w:val="370869F1"/>
    <w:rsid w:val="37305E86"/>
    <w:rsid w:val="37394069"/>
    <w:rsid w:val="37607F59"/>
    <w:rsid w:val="377873FB"/>
    <w:rsid w:val="377BA553"/>
    <w:rsid w:val="378316D0"/>
    <w:rsid w:val="37C73D67"/>
    <w:rsid w:val="37FF5DE7"/>
    <w:rsid w:val="381A49C6"/>
    <w:rsid w:val="38224EB1"/>
    <w:rsid w:val="384654F6"/>
    <w:rsid w:val="385652D1"/>
    <w:rsid w:val="385C6485"/>
    <w:rsid w:val="38666AAA"/>
    <w:rsid w:val="386E0252"/>
    <w:rsid w:val="389A4841"/>
    <w:rsid w:val="38B6022E"/>
    <w:rsid w:val="38CE7DF8"/>
    <w:rsid w:val="38CF5EB5"/>
    <w:rsid w:val="38DB62EF"/>
    <w:rsid w:val="390611D1"/>
    <w:rsid w:val="39204225"/>
    <w:rsid w:val="39247D1C"/>
    <w:rsid w:val="39267287"/>
    <w:rsid w:val="394009F0"/>
    <w:rsid w:val="39A22074"/>
    <w:rsid w:val="39A500F7"/>
    <w:rsid w:val="39A70D3C"/>
    <w:rsid w:val="39AA3CAB"/>
    <w:rsid w:val="39BF5FC7"/>
    <w:rsid w:val="39C6723B"/>
    <w:rsid w:val="39FF45C2"/>
    <w:rsid w:val="3A255BB6"/>
    <w:rsid w:val="3A4F4634"/>
    <w:rsid w:val="3A900388"/>
    <w:rsid w:val="3AB00248"/>
    <w:rsid w:val="3B00043C"/>
    <w:rsid w:val="3B247AF1"/>
    <w:rsid w:val="3B41474C"/>
    <w:rsid w:val="3B95D7C2"/>
    <w:rsid w:val="3B9D1CE9"/>
    <w:rsid w:val="3BAA0A13"/>
    <w:rsid w:val="3BE33A8E"/>
    <w:rsid w:val="3BF355AB"/>
    <w:rsid w:val="3BFD6284"/>
    <w:rsid w:val="3C216F40"/>
    <w:rsid w:val="3CC33464"/>
    <w:rsid w:val="3CE40959"/>
    <w:rsid w:val="3D06102C"/>
    <w:rsid w:val="3D1818F7"/>
    <w:rsid w:val="3D2B52F6"/>
    <w:rsid w:val="3D470E1C"/>
    <w:rsid w:val="3DD55980"/>
    <w:rsid w:val="3DDEBD0F"/>
    <w:rsid w:val="3E211AAD"/>
    <w:rsid w:val="3E32209C"/>
    <w:rsid w:val="3E3C70D0"/>
    <w:rsid w:val="3EAC131C"/>
    <w:rsid w:val="3EF76B34"/>
    <w:rsid w:val="3EF776F8"/>
    <w:rsid w:val="3F024B97"/>
    <w:rsid w:val="3F0B4C4E"/>
    <w:rsid w:val="3F2711F5"/>
    <w:rsid w:val="3F3505B8"/>
    <w:rsid w:val="3F776886"/>
    <w:rsid w:val="3F7B9542"/>
    <w:rsid w:val="3FAB2CDC"/>
    <w:rsid w:val="3FAC7F4E"/>
    <w:rsid w:val="3FAD3A7F"/>
    <w:rsid w:val="3FAF5F41"/>
    <w:rsid w:val="3FBF0526"/>
    <w:rsid w:val="3FCC6AD3"/>
    <w:rsid w:val="3FCE367F"/>
    <w:rsid w:val="3FDC633C"/>
    <w:rsid w:val="3FF59AB2"/>
    <w:rsid w:val="3FFA2372"/>
    <w:rsid w:val="3FFC1F7F"/>
    <w:rsid w:val="3FFC57DF"/>
    <w:rsid w:val="4019262D"/>
    <w:rsid w:val="40566736"/>
    <w:rsid w:val="409B49AA"/>
    <w:rsid w:val="40BD767C"/>
    <w:rsid w:val="40DC1A0A"/>
    <w:rsid w:val="414C5B13"/>
    <w:rsid w:val="41BB3450"/>
    <w:rsid w:val="41C30EF6"/>
    <w:rsid w:val="41CA2058"/>
    <w:rsid w:val="41D97124"/>
    <w:rsid w:val="423237DD"/>
    <w:rsid w:val="423671C1"/>
    <w:rsid w:val="427B4FB9"/>
    <w:rsid w:val="429C09DF"/>
    <w:rsid w:val="42AF77FC"/>
    <w:rsid w:val="42B543A5"/>
    <w:rsid w:val="42BD369D"/>
    <w:rsid w:val="42DA32B5"/>
    <w:rsid w:val="43184194"/>
    <w:rsid w:val="43455072"/>
    <w:rsid w:val="436457B5"/>
    <w:rsid w:val="4391727F"/>
    <w:rsid w:val="439863B3"/>
    <w:rsid w:val="43BD08C1"/>
    <w:rsid w:val="43C006FD"/>
    <w:rsid w:val="43C135F3"/>
    <w:rsid w:val="43D02134"/>
    <w:rsid w:val="43DA16EE"/>
    <w:rsid w:val="442A799B"/>
    <w:rsid w:val="44330ECF"/>
    <w:rsid w:val="447C51E1"/>
    <w:rsid w:val="449B7C04"/>
    <w:rsid w:val="44AC667F"/>
    <w:rsid w:val="44C27B4C"/>
    <w:rsid w:val="44DB25D7"/>
    <w:rsid w:val="45102FBE"/>
    <w:rsid w:val="451906D2"/>
    <w:rsid w:val="45263C1B"/>
    <w:rsid w:val="453A2B02"/>
    <w:rsid w:val="45701766"/>
    <w:rsid w:val="45760135"/>
    <w:rsid w:val="459A553F"/>
    <w:rsid w:val="45A31CD0"/>
    <w:rsid w:val="45B97DC2"/>
    <w:rsid w:val="45C9028D"/>
    <w:rsid w:val="45D87D3F"/>
    <w:rsid w:val="45DB0711"/>
    <w:rsid w:val="45F20DF2"/>
    <w:rsid w:val="45F23E7D"/>
    <w:rsid w:val="462A5003"/>
    <w:rsid w:val="469C0AE9"/>
    <w:rsid w:val="46B15956"/>
    <w:rsid w:val="46CA3B6E"/>
    <w:rsid w:val="46EA6DC0"/>
    <w:rsid w:val="4709100E"/>
    <w:rsid w:val="47317C5F"/>
    <w:rsid w:val="474C0BD4"/>
    <w:rsid w:val="477E0BCB"/>
    <w:rsid w:val="478427D5"/>
    <w:rsid w:val="47AD132E"/>
    <w:rsid w:val="47C36A0E"/>
    <w:rsid w:val="47FF671B"/>
    <w:rsid w:val="482A7A58"/>
    <w:rsid w:val="484D6229"/>
    <w:rsid w:val="48772D10"/>
    <w:rsid w:val="488E2B78"/>
    <w:rsid w:val="48982C45"/>
    <w:rsid w:val="48D70698"/>
    <w:rsid w:val="48FC132C"/>
    <w:rsid w:val="490673C7"/>
    <w:rsid w:val="491A47BE"/>
    <w:rsid w:val="493F6E1E"/>
    <w:rsid w:val="4976684B"/>
    <w:rsid w:val="49957879"/>
    <w:rsid w:val="49B602B1"/>
    <w:rsid w:val="4A3A3EA0"/>
    <w:rsid w:val="4A4F60A6"/>
    <w:rsid w:val="4A503A5C"/>
    <w:rsid w:val="4AB740F4"/>
    <w:rsid w:val="4AD503DE"/>
    <w:rsid w:val="4AFB0B99"/>
    <w:rsid w:val="4B062139"/>
    <w:rsid w:val="4B0E47BC"/>
    <w:rsid w:val="4B5E65BB"/>
    <w:rsid w:val="4B630BA2"/>
    <w:rsid w:val="4B8E22EF"/>
    <w:rsid w:val="4BE909E0"/>
    <w:rsid w:val="4BFD7007"/>
    <w:rsid w:val="4C1B5AA9"/>
    <w:rsid w:val="4C1D31A9"/>
    <w:rsid w:val="4C2C35BE"/>
    <w:rsid w:val="4C640EBF"/>
    <w:rsid w:val="4C694C36"/>
    <w:rsid w:val="4C6D0CF6"/>
    <w:rsid w:val="4C810DC8"/>
    <w:rsid w:val="4C8C6877"/>
    <w:rsid w:val="4C9C18EE"/>
    <w:rsid w:val="4CB30E2C"/>
    <w:rsid w:val="4CE52277"/>
    <w:rsid w:val="4CEA0DAB"/>
    <w:rsid w:val="4D26273D"/>
    <w:rsid w:val="4D671E22"/>
    <w:rsid w:val="4DE27E63"/>
    <w:rsid w:val="4E207DDB"/>
    <w:rsid w:val="4E2F651D"/>
    <w:rsid w:val="4E30022D"/>
    <w:rsid w:val="4E3438FC"/>
    <w:rsid w:val="4E391AA1"/>
    <w:rsid w:val="4E415A0D"/>
    <w:rsid w:val="4E85704C"/>
    <w:rsid w:val="4EB22961"/>
    <w:rsid w:val="4EF10702"/>
    <w:rsid w:val="4F0470C9"/>
    <w:rsid w:val="4F183BE6"/>
    <w:rsid w:val="4F1C3621"/>
    <w:rsid w:val="4F310896"/>
    <w:rsid w:val="4F3C42E0"/>
    <w:rsid w:val="4F846A83"/>
    <w:rsid w:val="4FFFFD99"/>
    <w:rsid w:val="5000141C"/>
    <w:rsid w:val="50343719"/>
    <w:rsid w:val="506E2504"/>
    <w:rsid w:val="50BB64D4"/>
    <w:rsid w:val="50C02681"/>
    <w:rsid w:val="50D50D34"/>
    <w:rsid w:val="50DB4A06"/>
    <w:rsid w:val="51056601"/>
    <w:rsid w:val="512F7701"/>
    <w:rsid w:val="513D728F"/>
    <w:rsid w:val="51556BEB"/>
    <w:rsid w:val="518D0A93"/>
    <w:rsid w:val="51907961"/>
    <w:rsid w:val="51A53B23"/>
    <w:rsid w:val="51C85901"/>
    <w:rsid w:val="51C939AF"/>
    <w:rsid w:val="520774F7"/>
    <w:rsid w:val="521640C9"/>
    <w:rsid w:val="524D2A73"/>
    <w:rsid w:val="529A5774"/>
    <w:rsid w:val="52A91B02"/>
    <w:rsid w:val="52F62053"/>
    <w:rsid w:val="534A2777"/>
    <w:rsid w:val="536707E5"/>
    <w:rsid w:val="53C95562"/>
    <w:rsid w:val="53D92B88"/>
    <w:rsid w:val="53EC253D"/>
    <w:rsid w:val="54047A2B"/>
    <w:rsid w:val="540A0805"/>
    <w:rsid w:val="541C41A8"/>
    <w:rsid w:val="54312134"/>
    <w:rsid w:val="54816A1C"/>
    <w:rsid w:val="5490655B"/>
    <w:rsid w:val="54914919"/>
    <w:rsid w:val="54FDB298"/>
    <w:rsid w:val="552015E7"/>
    <w:rsid w:val="5520776E"/>
    <w:rsid w:val="55344374"/>
    <w:rsid w:val="553B06A6"/>
    <w:rsid w:val="55614982"/>
    <w:rsid w:val="55626274"/>
    <w:rsid w:val="558761DE"/>
    <w:rsid w:val="559862AA"/>
    <w:rsid w:val="55B66317"/>
    <w:rsid w:val="55EC529B"/>
    <w:rsid w:val="56081C6F"/>
    <w:rsid w:val="563005B0"/>
    <w:rsid w:val="56435D9B"/>
    <w:rsid w:val="564A72B4"/>
    <w:rsid w:val="566C55D7"/>
    <w:rsid w:val="567E7704"/>
    <w:rsid w:val="56A04045"/>
    <w:rsid w:val="56C44CD8"/>
    <w:rsid w:val="56E0584B"/>
    <w:rsid w:val="56FF8F3A"/>
    <w:rsid w:val="57572AFB"/>
    <w:rsid w:val="57770C7B"/>
    <w:rsid w:val="57784D7C"/>
    <w:rsid w:val="57A34D5D"/>
    <w:rsid w:val="57B417C9"/>
    <w:rsid w:val="57F16C7F"/>
    <w:rsid w:val="580032C7"/>
    <w:rsid w:val="58385F74"/>
    <w:rsid w:val="58580DF2"/>
    <w:rsid w:val="5878114F"/>
    <w:rsid w:val="58901B7B"/>
    <w:rsid w:val="58C70D87"/>
    <w:rsid w:val="58CC52EC"/>
    <w:rsid w:val="592167B7"/>
    <w:rsid w:val="59515A62"/>
    <w:rsid w:val="59B166C6"/>
    <w:rsid w:val="5A04409A"/>
    <w:rsid w:val="5A053746"/>
    <w:rsid w:val="5A396D69"/>
    <w:rsid w:val="5A3D066F"/>
    <w:rsid w:val="5A715387"/>
    <w:rsid w:val="5AA20705"/>
    <w:rsid w:val="5AC30A8D"/>
    <w:rsid w:val="5AF022D8"/>
    <w:rsid w:val="5B1C04B7"/>
    <w:rsid w:val="5B4445F7"/>
    <w:rsid w:val="5B791FD5"/>
    <w:rsid w:val="5B835EA4"/>
    <w:rsid w:val="5B8D48D7"/>
    <w:rsid w:val="5B9948FB"/>
    <w:rsid w:val="5BAF55E6"/>
    <w:rsid w:val="5BEC84F2"/>
    <w:rsid w:val="5C202971"/>
    <w:rsid w:val="5C284F5A"/>
    <w:rsid w:val="5C2C30E6"/>
    <w:rsid w:val="5C4D737E"/>
    <w:rsid w:val="5C570B59"/>
    <w:rsid w:val="5C6914DA"/>
    <w:rsid w:val="5CA97873"/>
    <w:rsid w:val="5CBA72C9"/>
    <w:rsid w:val="5CCB1C24"/>
    <w:rsid w:val="5CD66444"/>
    <w:rsid w:val="5CDE2076"/>
    <w:rsid w:val="5CDE91A1"/>
    <w:rsid w:val="5D07773A"/>
    <w:rsid w:val="5D1B0329"/>
    <w:rsid w:val="5DDEAE7E"/>
    <w:rsid w:val="5DE943D8"/>
    <w:rsid w:val="5DFE7C86"/>
    <w:rsid w:val="5DFE7D22"/>
    <w:rsid w:val="5DFF4CEF"/>
    <w:rsid w:val="5E145924"/>
    <w:rsid w:val="5E1C1E4D"/>
    <w:rsid w:val="5E226E13"/>
    <w:rsid w:val="5E332D0F"/>
    <w:rsid w:val="5E68701E"/>
    <w:rsid w:val="5E8C3F94"/>
    <w:rsid w:val="5EA905CB"/>
    <w:rsid w:val="5EAC2EB0"/>
    <w:rsid w:val="5EB44459"/>
    <w:rsid w:val="5EBA0137"/>
    <w:rsid w:val="5EC2304E"/>
    <w:rsid w:val="5ECC6C43"/>
    <w:rsid w:val="5ECD7C3D"/>
    <w:rsid w:val="5ECE3876"/>
    <w:rsid w:val="5EF05EE3"/>
    <w:rsid w:val="5F0F5D02"/>
    <w:rsid w:val="5F6E01E1"/>
    <w:rsid w:val="5F7F8C54"/>
    <w:rsid w:val="5F8C2D9E"/>
    <w:rsid w:val="5FB695E5"/>
    <w:rsid w:val="5FD5655E"/>
    <w:rsid w:val="5FED2422"/>
    <w:rsid w:val="600215CD"/>
    <w:rsid w:val="607008B6"/>
    <w:rsid w:val="61233893"/>
    <w:rsid w:val="615240E5"/>
    <w:rsid w:val="616E30EF"/>
    <w:rsid w:val="617C5DE6"/>
    <w:rsid w:val="619F1D22"/>
    <w:rsid w:val="619F1DD5"/>
    <w:rsid w:val="61B41449"/>
    <w:rsid w:val="62161F6C"/>
    <w:rsid w:val="62570C05"/>
    <w:rsid w:val="63247993"/>
    <w:rsid w:val="63247F09"/>
    <w:rsid w:val="6372210C"/>
    <w:rsid w:val="63870498"/>
    <w:rsid w:val="63D00091"/>
    <w:rsid w:val="63DA7B74"/>
    <w:rsid w:val="63E458EA"/>
    <w:rsid w:val="64424C82"/>
    <w:rsid w:val="64430863"/>
    <w:rsid w:val="64825558"/>
    <w:rsid w:val="64866493"/>
    <w:rsid w:val="6515607C"/>
    <w:rsid w:val="6518383B"/>
    <w:rsid w:val="652F76CA"/>
    <w:rsid w:val="65322F48"/>
    <w:rsid w:val="65622232"/>
    <w:rsid w:val="657B1C3D"/>
    <w:rsid w:val="65CB78D5"/>
    <w:rsid w:val="65FC6F1B"/>
    <w:rsid w:val="65FD0752"/>
    <w:rsid w:val="66220CAC"/>
    <w:rsid w:val="663E33F3"/>
    <w:rsid w:val="66634144"/>
    <w:rsid w:val="66862C1B"/>
    <w:rsid w:val="669A6CF4"/>
    <w:rsid w:val="66A66CB8"/>
    <w:rsid w:val="66FC2C16"/>
    <w:rsid w:val="670818F0"/>
    <w:rsid w:val="672030DD"/>
    <w:rsid w:val="678D1D9A"/>
    <w:rsid w:val="67A07D7A"/>
    <w:rsid w:val="68233C9A"/>
    <w:rsid w:val="685036A5"/>
    <w:rsid w:val="68580655"/>
    <w:rsid w:val="68725BBA"/>
    <w:rsid w:val="688C092F"/>
    <w:rsid w:val="68942399"/>
    <w:rsid w:val="690E618F"/>
    <w:rsid w:val="69302633"/>
    <w:rsid w:val="69C43F1F"/>
    <w:rsid w:val="6A534B8A"/>
    <w:rsid w:val="6A79C05A"/>
    <w:rsid w:val="6A817B42"/>
    <w:rsid w:val="6A9E354E"/>
    <w:rsid w:val="6B563571"/>
    <w:rsid w:val="6B6B010A"/>
    <w:rsid w:val="6BA0589B"/>
    <w:rsid w:val="6BBD60A3"/>
    <w:rsid w:val="6BC73F99"/>
    <w:rsid w:val="6BE742BD"/>
    <w:rsid w:val="6BF808B1"/>
    <w:rsid w:val="6BFBA07B"/>
    <w:rsid w:val="6C583CB1"/>
    <w:rsid w:val="6C65515C"/>
    <w:rsid w:val="6C662DC6"/>
    <w:rsid w:val="6C665138"/>
    <w:rsid w:val="6C7047CC"/>
    <w:rsid w:val="6CA43617"/>
    <w:rsid w:val="6CBE13CE"/>
    <w:rsid w:val="6CC1099A"/>
    <w:rsid w:val="6D1159A2"/>
    <w:rsid w:val="6D602B9D"/>
    <w:rsid w:val="6D63C8F1"/>
    <w:rsid w:val="6DEC638A"/>
    <w:rsid w:val="6E731195"/>
    <w:rsid w:val="6EA44076"/>
    <w:rsid w:val="6ED47431"/>
    <w:rsid w:val="6EDF1DB5"/>
    <w:rsid w:val="6F331202"/>
    <w:rsid w:val="6F60676D"/>
    <w:rsid w:val="6F881914"/>
    <w:rsid w:val="6F8B2DE9"/>
    <w:rsid w:val="6F8C678E"/>
    <w:rsid w:val="6F9D9AD9"/>
    <w:rsid w:val="6FB87237"/>
    <w:rsid w:val="6FBC016B"/>
    <w:rsid w:val="6FBDC018"/>
    <w:rsid w:val="6FF62BE8"/>
    <w:rsid w:val="6FFF42D4"/>
    <w:rsid w:val="70046FC3"/>
    <w:rsid w:val="70613A2A"/>
    <w:rsid w:val="70A35E01"/>
    <w:rsid w:val="70DC1917"/>
    <w:rsid w:val="71212293"/>
    <w:rsid w:val="71297032"/>
    <w:rsid w:val="71395307"/>
    <w:rsid w:val="713D45B1"/>
    <w:rsid w:val="714B6BCD"/>
    <w:rsid w:val="71593C12"/>
    <w:rsid w:val="71EE3D40"/>
    <w:rsid w:val="72121B63"/>
    <w:rsid w:val="726A07AF"/>
    <w:rsid w:val="728159C3"/>
    <w:rsid w:val="729253F9"/>
    <w:rsid w:val="72932D9A"/>
    <w:rsid w:val="72AB274E"/>
    <w:rsid w:val="72AB5F51"/>
    <w:rsid w:val="72BF96E6"/>
    <w:rsid w:val="72F8784D"/>
    <w:rsid w:val="731F1BF0"/>
    <w:rsid w:val="733E6DC5"/>
    <w:rsid w:val="735E1C3A"/>
    <w:rsid w:val="736E65FA"/>
    <w:rsid w:val="73C6500C"/>
    <w:rsid w:val="73E1548D"/>
    <w:rsid w:val="74220495"/>
    <w:rsid w:val="743A1639"/>
    <w:rsid w:val="74565CD0"/>
    <w:rsid w:val="74B714F4"/>
    <w:rsid w:val="74B75EC4"/>
    <w:rsid w:val="74D05275"/>
    <w:rsid w:val="74FC1B38"/>
    <w:rsid w:val="75854F8B"/>
    <w:rsid w:val="75936DC8"/>
    <w:rsid w:val="759F462D"/>
    <w:rsid w:val="75DFF9A3"/>
    <w:rsid w:val="75FD30E6"/>
    <w:rsid w:val="75FD6934"/>
    <w:rsid w:val="760A45ED"/>
    <w:rsid w:val="76187D7C"/>
    <w:rsid w:val="767E2995"/>
    <w:rsid w:val="769ED31C"/>
    <w:rsid w:val="76B651CC"/>
    <w:rsid w:val="76BE64ED"/>
    <w:rsid w:val="76C85DC1"/>
    <w:rsid w:val="76E934EC"/>
    <w:rsid w:val="76F51E90"/>
    <w:rsid w:val="76FA3BA2"/>
    <w:rsid w:val="77020717"/>
    <w:rsid w:val="77091207"/>
    <w:rsid w:val="77453344"/>
    <w:rsid w:val="7772403D"/>
    <w:rsid w:val="7774EDCC"/>
    <w:rsid w:val="7797A20A"/>
    <w:rsid w:val="77AF6FE0"/>
    <w:rsid w:val="77BFB107"/>
    <w:rsid w:val="77BFC5AA"/>
    <w:rsid w:val="78252301"/>
    <w:rsid w:val="7843366E"/>
    <w:rsid w:val="78592ECD"/>
    <w:rsid w:val="785C246E"/>
    <w:rsid w:val="78F92205"/>
    <w:rsid w:val="78FA5924"/>
    <w:rsid w:val="791E0BFE"/>
    <w:rsid w:val="79224ECF"/>
    <w:rsid w:val="79AD60F5"/>
    <w:rsid w:val="79B2691B"/>
    <w:rsid w:val="79B71B8B"/>
    <w:rsid w:val="79F9B436"/>
    <w:rsid w:val="79FED530"/>
    <w:rsid w:val="7A276E26"/>
    <w:rsid w:val="7A5A50FB"/>
    <w:rsid w:val="7A681AE2"/>
    <w:rsid w:val="7AAE4FC6"/>
    <w:rsid w:val="7AB81889"/>
    <w:rsid w:val="7ABF5398"/>
    <w:rsid w:val="7AEC57AC"/>
    <w:rsid w:val="7AEF25E4"/>
    <w:rsid w:val="7AF81F4F"/>
    <w:rsid w:val="7B673F1B"/>
    <w:rsid w:val="7B6A7228"/>
    <w:rsid w:val="7B7E5D35"/>
    <w:rsid w:val="7B7F0963"/>
    <w:rsid w:val="7BBE00B9"/>
    <w:rsid w:val="7BBEA4BC"/>
    <w:rsid w:val="7BDD1C05"/>
    <w:rsid w:val="7BEE236B"/>
    <w:rsid w:val="7BFA1F37"/>
    <w:rsid w:val="7BFF7C01"/>
    <w:rsid w:val="7BFFF4C6"/>
    <w:rsid w:val="7C561C68"/>
    <w:rsid w:val="7C576A1E"/>
    <w:rsid w:val="7C5E324D"/>
    <w:rsid w:val="7C726F52"/>
    <w:rsid w:val="7C80743F"/>
    <w:rsid w:val="7C9F59DF"/>
    <w:rsid w:val="7CA920F3"/>
    <w:rsid w:val="7CB4197C"/>
    <w:rsid w:val="7CBBD680"/>
    <w:rsid w:val="7CCC2D74"/>
    <w:rsid w:val="7CE603D9"/>
    <w:rsid w:val="7CFA77FD"/>
    <w:rsid w:val="7CFF2D69"/>
    <w:rsid w:val="7D3E47D3"/>
    <w:rsid w:val="7D3F2A4A"/>
    <w:rsid w:val="7D5E5A21"/>
    <w:rsid w:val="7D696BDB"/>
    <w:rsid w:val="7D76D6C9"/>
    <w:rsid w:val="7D7D9E72"/>
    <w:rsid w:val="7D7FDDCE"/>
    <w:rsid w:val="7D9E14D4"/>
    <w:rsid w:val="7DB83D7A"/>
    <w:rsid w:val="7DC57FFF"/>
    <w:rsid w:val="7DE74FD6"/>
    <w:rsid w:val="7DEF01A2"/>
    <w:rsid w:val="7DFA5C7A"/>
    <w:rsid w:val="7DFD056D"/>
    <w:rsid w:val="7DFEB987"/>
    <w:rsid w:val="7E083160"/>
    <w:rsid w:val="7E1352F2"/>
    <w:rsid w:val="7E2D7BFC"/>
    <w:rsid w:val="7E403C7E"/>
    <w:rsid w:val="7E5A6540"/>
    <w:rsid w:val="7E7328DF"/>
    <w:rsid w:val="7E980A22"/>
    <w:rsid w:val="7EA258B2"/>
    <w:rsid w:val="7EBB19A8"/>
    <w:rsid w:val="7EBD78DD"/>
    <w:rsid w:val="7EBE0A42"/>
    <w:rsid w:val="7EC7E7E3"/>
    <w:rsid w:val="7ED046BC"/>
    <w:rsid w:val="7EED42E9"/>
    <w:rsid w:val="7EF5A031"/>
    <w:rsid w:val="7F103F67"/>
    <w:rsid w:val="7F1D37D4"/>
    <w:rsid w:val="7F2F09B2"/>
    <w:rsid w:val="7F6BD9CA"/>
    <w:rsid w:val="7F75DE4F"/>
    <w:rsid w:val="7F7E6793"/>
    <w:rsid w:val="7FA7F29A"/>
    <w:rsid w:val="7FAB3385"/>
    <w:rsid w:val="7FCB5E84"/>
    <w:rsid w:val="7FD3D7D5"/>
    <w:rsid w:val="7FD3E870"/>
    <w:rsid w:val="7FDB4D6D"/>
    <w:rsid w:val="7FDF57FA"/>
    <w:rsid w:val="7FDFB5D4"/>
    <w:rsid w:val="7FE1E81A"/>
    <w:rsid w:val="7FE26F48"/>
    <w:rsid w:val="7FE73018"/>
    <w:rsid w:val="7FF78BE7"/>
    <w:rsid w:val="7FFF2EB5"/>
    <w:rsid w:val="7FFF5DFC"/>
    <w:rsid w:val="8BBCCA74"/>
    <w:rsid w:val="8FFA1555"/>
    <w:rsid w:val="9CFFE629"/>
    <w:rsid w:val="9F7FAD26"/>
    <w:rsid w:val="9FFF7723"/>
    <w:rsid w:val="A79E3E85"/>
    <w:rsid w:val="AFEF81B9"/>
    <w:rsid w:val="AFFFA79A"/>
    <w:rsid w:val="B7D9E510"/>
    <w:rsid w:val="B8C776C5"/>
    <w:rsid w:val="BAFE1F40"/>
    <w:rsid w:val="BB375C19"/>
    <w:rsid w:val="BB76FD83"/>
    <w:rsid w:val="BCDE7540"/>
    <w:rsid w:val="BD278CDB"/>
    <w:rsid w:val="BD7F895A"/>
    <w:rsid w:val="BD9E12B6"/>
    <w:rsid w:val="BDE58B3D"/>
    <w:rsid w:val="BDF3DD9E"/>
    <w:rsid w:val="BE9B849E"/>
    <w:rsid w:val="BEFBB0A7"/>
    <w:rsid w:val="BEFBC52B"/>
    <w:rsid w:val="BF9FA6DF"/>
    <w:rsid w:val="BFC72FC7"/>
    <w:rsid w:val="BFE7E7DE"/>
    <w:rsid w:val="BFFDE469"/>
    <w:rsid w:val="BFFF5C73"/>
    <w:rsid w:val="CD7F1D6F"/>
    <w:rsid w:val="CFBF3ADE"/>
    <w:rsid w:val="CFF60A9D"/>
    <w:rsid w:val="D6DFE24A"/>
    <w:rsid w:val="D7B6AC87"/>
    <w:rsid w:val="DBDF5882"/>
    <w:rsid w:val="DDEBF63E"/>
    <w:rsid w:val="DE956120"/>
    <w:rsid w:val="DEFD8FDC"/>
    <w:rsid w:val="DF6B4E7C"/>
    <w:rsid w:val="DF7FF382"/>
    <w:rsid w:val="DF8F7CA3"/>
    <w:rsid w:val="DF9CFE26"/>
    <w:rsid w:val="DFBB4F2F"/>
    <w:rsid w:val="DFEFA827"/>
    <w:rsid w:val="DFF7E6B9"/>
    <w:rsid w:val="DFFB352F"/>
    <w:rsid w:val="DFFBAE1F"/>
    <w:rsid w:val="DFFFD4A2"/>
    <w:rsid w:val="E1DF12B0"/>
    <w:rsid w:val="E43EDCC0"/>
    <w:rsid w:val="E6FD52CA"/>
    <w:rsid w:val="E9BC6E23"/>
    <w:rsid w:val="EBCA4E52"/>
    <w:rsid w:val="ED98EE9E"/>
    <w:rsid w:val="EEF785C5"/>
    <w:rsid w:val="EF3C4685"/>
    <w:rsid w:val="F0EEC24E"/>
    <w:rsid w:val="F1EF094A"/>
    <w:rsid w:val="F379BCBC"/>
    <w:rsid w:val="F3F970D6"/>
    <w:rsid w:val="F57FFE1E"/>
    <w:rsid w:val="F75C2E34"/>
    <w:rsid w:val="F7A8DF1F"/>
    <w:rsid w:val="F7B82F00"/>
    <w:rsid w:val="F7BFB0F6"/>
    <w:rsid w:val="F7DD8BA4"/>
    <w:rsid w:val="F7E7FC18"/>
    <w:rsid w:val="F7EFA862"/>
    <w:rsid w:val="F7FF50C9"/>
    <w:rsid w:val="F8F4C86A"/>
    <w:rsid w:val="F97E90A7"/>
    <w:rsid w:val="FB2883E0"/>
    <w:rsid w:val="FBBDAAF5"/>
    <w:rsid w:val="FBE66280"/>
    <w:rsid w:val="FBFE98DD"/>
    <w:rsid w:val="FCDD40B8"/>
    <w:rsid w:val="FCF7130C"/>
    <w:rsid w:val="FCF7EE5B"/>
    <w:rsid w:val="FCFEA556"/>
    <w:rsid w:val="FCFFD0F2"/>
    <w:rsid w:val="FD5E00E2"/>
    <w:rsid w:val="FD7D15C3"/>
    <w:rsid w:val="FDDF2C2B"/>
    <w:rsid w:val="FDE63AE8"/>
    <w:rsid w:val="FDF6E8E0"/>
    <w:rsid w:val="FE3E8891"/>
    <w:rsid w:val="FE9C5160"/>
    <w:rsid w:val="FEF7133C"/>
    <w:rsid w:val="FEF7CFA7"/>
    <w:rsid w:val="FEFFFC21"/>
    <w:rsid w:val="FF35F12D"/>
    <w:rsid w:val="FF4CF77B"/>
    <w:rsid w:val="FF77BA18"/>
    <w:rsid w:val="FFEB7452"/>
    <w:rsid w:val="FFEFBCB0"/>
    <w:rsid w:val="FFF7CD14"/>
    <w:rsid w:val="FFFA3B6A"/>
    <w:rsid w:val="FFFA458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4"/>
    <w:qFormat/>
    <w:uiPriority w:val="0"/>
    <w:pPr>
      <w:keepNext/>
      <w:snapToGrid/>
      <w:spacing w:before="100" w:beforeLines="100" w:after="100" w:afterLines="100" w:line="360" w:lineRule="auto"/>
      <w:jc w:val="center"/>
      <w:outlineLvl w:val="0"/>
    </w:pPr>
    <w:rPr>
      <w:rFonts w:ascii="Times New Roman Bold" w:hAnsi="Times New Roman Bold" w:eastAsia="FangSong_GB2312"/>
      <w:b/>
      <w:sz w:val="44"/>
      <w:szCs w:val="28"/>
    </w:rPr>
  </w:style>
  <w:style w:type="paragraph" w:styleId="3">
    <w:name w:val="heading 2"/>
    <w:basedOn w:val="1"/>
    <w:next w:val="1"/>
    <w:link w:val="42"/>
    <w:unhideWhenUsed/>
    <w:qFormat/>
    <w:uiPriority w:val="0"/>
    <w:pPr>
      <w:keepNext/>
      <w:keepLines/>
      <w:snapToGrid/>
      <w:spacing w:before="100" w:beforeLines="100" w:after="100" w:afterLines="100" w:line="360" w:lineRule="auto"/>
      <w:jc w:val="center"/>
      <w:outlineLvl w:val="1"/>
    </w:pPr>
    <w:rPr>
      <w:rFonts w:ascii="Times New Roman" w:hAnsi="Times New Roman" w:eastAsia="FangSong_GB2312"/>
      <w:b/>
      <w:bCs/>
      <w:sz w:val="36"/>
      <w:szCs w:val="32"/>
    </w:rPr>
  </w:style>
  <w:style w:type="paragraph" w:styleId="4">
    <w:name w:val="heading 3"/>
    <w:basedOn w:val="1"/>
    <w:next w:val="1"/>
    <w:link w:val="53"/>
    <w:unhideWhenUsed/>
    <w:qFormat/>
    <w:uiPriority w:val="0"/>
    <w:pPr>
      <w:keepNext/>
      <w:keepLines/>
      <w:spacing w:before="50" w:beforeLines="50" w:after="50" w:afterLines="50" w:line="360" w:lineRule="auto"/>
      <w:outlineLvl w:val="2"/>
    </w:pPr>
    <w:rPr>
      <w:rFonts w:ascii="Times New Roman" w:hAnsi="Times New Roman" w:eastAsia="宋体"/>
      <w:b/>
      <w:bCs/>
      <w:sz w:val="24"/>
      <w:szCs w:val="32"/>
    </w:rPr>
  </w:style>
  <w:style w:type="character" w:default="1" w:styleId="24">
    <w:name w:val="Default Paragraph Font"/>
    <w:unhideWhenUsed/>
    <w:qFormat/>
    <w:uiPriority w:val="1"/>
  </w:style>
  <w:style w:type="table" w:default="1" w:styleId="22">
    <w:name w:val="Normal Table"/>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420" w:firstLineChars="200"/>
    </w:pPr>
  </w:style>
  <w:style w:type="paragraph" w:styleId="6">
    <w:name w:val="Document Map"/>
    <w:basedOn w:val="1"/>
    <w:qFormat/>
    <w:uiPriority w:val="0"/>
    <w:rPr>
      <w:rFonts w:ascii="宋体"/>
      <w:sz w:val="18"/>
      <w:szCs w:val="18"/>
    </w:rPr>
  </w:style>
  <w:style w:type="paragraph" w:styleId="7">
    <w:name w:val="annotation text"/>
    <w:qFormat/>
    <w:uiPriority w:val="0"/>
    <w:pPr>
      <w:widowControl w:val="0"/>
      <w:jc w:val="left"/>
    </w:pPr>
    <w:rPr>
      <w:rFonts w:ascii="Times New Roman" w:hAnsi="Times New Roman" w:eastAsia="宋体" w:cs="Times New Roman"/>
      <w:kern w:val="2"/>
      <w:sz w:val="21"/>
      <w:szCs w:val="24"/>
      <w:lang w:val="en-US" w:eastAsia="zh-CN" w:bidi="ar-SA"/>
    </w:rPr>
  </w:style>
  <w:style w:type="paragraph" w:styleId="8">
    <w:name w:val="Salutation"/>
    <w:basedOn w:val="1"/>
    <w:next w:val="1"/>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9">
    <w:name w:val="Body Text"/>
    <w:basedOn w:val="1"/>
    <w:qFormat/>
    <w:uiPriority w:val="0"/>
    <w:pPr>
      <w:spacing w:after="120"/>
    </w:pPr>
  </w:style>
  <w:style w:type="paragraph" w:styleId="10">
    <w:name w:val="Body Text Indent"/>
    <w:basedOn w:val="1"/>
    <w:next w:val="11"/>
    <w:qFormat/>
    <w:uiPriority w:val="0"/>
    <w:pPr>
      <w:spacing w:after="120"/>
      <w:ind w:left="420" w:leftChars="200"/>
    </w:pPr>
    <w:rPr>
      <w:kern w:val="0"/>
      <w:sz w:val="20"/>
    </w:rPr>
  </w:style>
  <w:style w:type="paragraph" w:styleId="11">
    <w:name w:val="envelope return"/>
    <w:basedOn w:val="1"/>
    <w:qFormat/>
    <w:uiPriority w:val="0"/>
    <w:rPr>
      <w:rFonts w:ascii="Arial" w:hAnsi="Arial"/>
    </w:rPr>
  </w:style>
  <w:style w:type="paragraph" w:styleId="12">
    <w:name w:val="toc 3"/>
    <w:basedOn w:val="1"/>
    <w:next w:val="1"/>
    <w:qFormat/>
    <w:uiPriority w:val="0"/>
    <w:pPr>
      <w:ind w:left="420"/>
      <w:jc w:val="left"/>
    </w:pPr>
    <w:rPr>
      <w:rFonts w:asciiTheme="minorHAnsi" w:hAnsiTheme="minorHAnsi" w:cstheme="minorHAnsi"/>
      <w:i/>
      <w:iCs/>
      <w:sz w:val="20"/>
      <w:szCs w:val="20"/>
    </w:rPr>
  </w:style>
  <w:style w:type="paragraph" w:styleId="13">
    <w:name w:val="Body Text Indent 2"/>
    <w:basedOn w:val="1"/>
    <w:next w:val="1"/>
    <w:qFormat/>
    <w:uiPriority w:val="0"/>
    <w:pPr>
      <w:spacing w:after="120" w:line="480" w:lineRule="auto"/>
      <w:ind w:left="420" w:leftChars="200"/>
    </w:pPr>
  </w:style>
  <w:style w:type="paragraph" w:styleId="14">
    <w:name w:val="footer"/>
    <w:basedOn w:val="1"/>
    <w:qFormat/>
    <w:uiPriority w:val="0"/>
    <w:pPr>
      <w:tabs>
        <w:tab w:val="center" w:pos="4153"/>
        <w:tab w:val="right" w:pos="8306"/>
      </w:tabs>
      <w:snapToGrid w:val="0"/>
      <w:jc w:val="left"/>
    </w:pPr>
    <w:rPr>
      <w:rFonts w:asciiTheme="minorHAnsi" w:hAnsiTheme="minorHAnsi" w:eastAsiaTheme="minorEastAsia" w:cstheme="minorBidi"/>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rFonts w:asciiTheme="minorHAnsi" w:hAnsiTheme="minorHAnsi" w:cstheme="minorBidi"/>
      <w:sz w:val="18"/>
      <w:szCs w:val="18"/>
    </w:rPr>
  </w:style>
  <w:style w:type="paragraph" w:styleId="16">
    <w:name w:val="toc 1"/>
    <w:basedOn w:val="1"/>
    <w:next w:val="1"/>
    <w:qFormat/>
    <w:uiPriority w:val="0"/>
    <w:pPr>
      <w:spacing w:before="120" w:after="120"/>
      <w:jc w:val="left"/>
    </w:pPr>
    <w:rPr>
      <w:rFonts w:asciiTheme="minorHAnsi" w:hAnsiTheme="minorHAnsi" w:cstheme="minorHAnsi"/>
      <w:b/>
      <w:bCs/>
      <w:caps/>
      <w:sz w:val="20"/>
      <w:szCs w:val="20"/>
    </w:rPr>
  </w:style>
  <w:style w:type="paragraph" w:styleId="17">
    <w:name w:val="toc 2"/>
    <w:basedOn w:val="1"/>
    <w:next w:val="1"/>
    <w:qFormat/>
    <w:uiPriority w:val="0"/>
    <w:pPr>
      <w:ind w:left="210"/>
      <w:jc w:val="left"/>
    </w:pPr>
    <w:rPr>
      <w:rFonts w:asciiTheme="minorHAnsi" w:hAnsiTheme="minorHAnsi" w:cstheme="minorHAnsi"/>
      <w:smallCaps/>
      <w:sz w:val="20"/>
      <w:szCs w:val="20"/>
    </w:rPr>
  </w:style>
  <w:style w:type="paragraph" w:styleId="18">
    <w:name w:val="Normal (Web)"/>
    <w:basedOn w:val="1"/>
    <w:qFormat/>
    <w:uiPriority w:val="0"/>
    <w:pPr>
      <w:spacing w:beforeAutospacing="1" w:afterAutospacing="1"/>
      <w:jc w:val="left"/>
    </w:pPr>
    <w:rPr>
      <w:kern w:val="0"/>
      <w:sz w:val="24"/>
    </w:rPr>
  </w:style>
  <w:style w:type="paragraph" w:styleId="19">
    <w:name w:val="Title"/>
    <w:basedOn w:val="1"/>
    <w:next w:val="1"/>
    <w:qFormat/>
    <w:uiPriority w:val="0"/>
    <w:pPr>
      <w:spacing w:before="240" w:after="60"/>
      <w:jc w:val="center"/>
      <w:outlineLvl w:val="0"/>
    </w:pPr>
    <w:rPr>
      <w:rFonts w:ascii="Arial" w:hAnsi="Arial" w:cs="Arial" w:eastAsiaTheme="minorEastAsia"/>
      <w:b/>
      <w:bCs/>
      <w:sz w:val="32"/>
      <w:szCs w:val="32"/>
    </w:rPr>
  </w:style>
  <w:style w:type="paragraph" w:styleId="20">
    <w:name w:val="Body Text First Indent"/>
    <w:basedOn w:val="9"/>
    <w:qFormat/>
    <w:uiPriority w:val="0"/>
    <w:pPr>
      <w:ind w:firstLine="420" w:firstLineChars="100"/>
    </w:pPr>
  </w:style>
  <w:style w:type="paragraph" w:styleId="21">
    <w:name w:val="Body Text First Indent 2"/>
    <w:basedOn w:val="10"/>
    <w:next w:val="20"/>
    <w:qFormat/>
    <w:uiPriority w:val="0"/>
    <w:pPr>
      <w:spacing w:before="0" w:after="120" w:line="240" w:lineRule="auto"/>
      <w:ind w:left="420" w:leftChars="200" w:firstLine="210" w:firstLineChars="200"/>
    </w:pPr>
    <w:rPr>
      <w:rFonts w:ascii="Times New Roman"/>
      <w:spacing w:val="0"/>
      <w:kern w:val="2"/>
      <w:sz w:val="28"/>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rPr>
  </w:style>
  <w:style w:type="character" w:styleId="26">
    <w:name w:val="page number"/>
    <w:qFormat/>
    <w:uiPriority w:val="0"/>
    <w:rPr>
      <w:rFonts w:eastAsia="宋体"/>
      <w:kern w:val="2"/>
      <w:sz w:val="28"/>
      <w:szCs w:val="28"/>
      <w:lang w:val="en-US" w:eastAsia="zh-CN" w:bidi="ar-SA"/>
    </w:rPr>
  </w:style>
  <w:style w:type="character" w:styleId="27">
    <w:name w:val="Emphasis"/>
    <w:qFormat/>
    <w:uiPriority w:val="20"/>
    <w:rPr>
      <w:color w:val="CC0033"/>
    </w:rPr>
  </w:style>
  <w:style w:type="character" w:styleId="28">
    <w:name w:val="Hyperlink"/>
    <w:basedOn w:val="24"/>
    <w:qFormat/>
    <w:uiPriority w:val="0"/>
    <w:rPr>
      <w:color w:val="0000FF"/>
      <w:u w:val="single"/>
    </w:rPr>
  </w:style>
  <w:style w:type="paragraph" w:customStyle="1" w:styleId="29">
    <w:name w:val="报告正文"/>
    <w:basedOn w:val="1"/>
    <w:link w:val="30"/>
    <w:qFormat/>
    <w:uiPriority w:val="0"/>
    <w:pPr>
      <w:wordWrap/>
      <w:topLinePunct/>
      <w:spacing w:line="360" w:lineRule="auto"/>
      <w:ind w:firstLine="480" w:firstLineChars="200"/>
      <w:jc w:val="both"/>
    </w:pPr>
    <w:rPr>
      <w:rFonts w:hint="default" w:ascii="Times New Roman" w:hAnsi="Times New Roman" w:eastAsia="宋体"/>
      <w:color w:val="auto"/>
      <w:kern w:val="0"/>
      <w:sz w:val="24"/>
    </w:rPr>
  </w:style>
  <w:style w:type="character" w:customStyle="1" w:styleId="30">
    <w:name w:val="报告正文 Char"/>
    <w:link w:val="29"/>
    <w:qFormat/>
    <w:uiPriority w:val="0"/>
    <w:rPr>
      <w:rFonts w:hint="default" w:ascii="Times New Roman" w:hAnsi="Times New Roman" w:eastAsia="宋体" w:cs="Times New Roman"/>
      <w:color w:val="auto"/>
      <w:kern w:val="0"/>
      <w:sz w:val="24"/>
    </w:rPr>
  </w:style>
  <w:style w:type="paragraph" w:customStyle="1" w:styleId="31">
    <w:name w:val="_Style 2"/>
    <w:qFormat/>
    <w:uiPriority w:val="0"/>
    <w:pPr>
      <w:widowControl w:val="0"/>
      <w:spacing w:beforeAutospacing="0" w:afterAutospacing="0" w:line="351" w:lineRule="atLeast"/>
      <w:ind w:firstLine="623"/>
      <w:jc w:val="both"/>
      <w:textAlignment w:val="baseline"/>
    </w:pPr>
    <w:rPr>
      <w:rFonts w:ascii="Times New Roman" w:hAnsi="Times New Roman" w:eastAsia="仿宋_GB2312" w:cs="Times New Roman"/>
      <w:color w:val="000000"/>
      <w:kern w:val="2"/>
      <w:sz w:val="31"/>
      <w:szCs w:val="20"/>
      <w:lang w:val="en-US" w:eastAsia="zh-CN" w:bidi="ar-SA"/>
    </w:rPr>
  </w:style>
  <w:style w:type="paragraph" w:customStyle="1" w:styleId="32">
    <w:name w:val="五号1.15"/>
    <w:basedOn w:val="1"/>
    <w:qFormat/>
    <w:uiPriority w:val="0"/>
    <w:pPr>
      <w:spacing w:line="276" w:lineRule="auto"/>
      <w:ind w:firstLine="960" w:firstLineChars="200"/>
      <w:jc w:val="left"/>
    </w:pPr>
  </w:style>
  <w:style w:type="paragraph" w:customStyle="1" w:styleId="33">
    <w:name w:val="Char"/>
    <w:basedOn w:val="1"/>
    <w:qFormat/>
    <w:uiPriority w:val="0"/>
    <w:pPr>
      <w:widowControl/>
      <w:spacing w:after="160" w:line="240" w:lineRule="exact"/>
      <w:jc w:val="left"/>
    </w:pPr>
    <w:rPr>
      <w:szCs w:val="20"/>
    </w:rPr>
  </w:style>
  <w:style w:type="character" w:customStyle="1" w:styleId="34">
    <w:name w:val="15"/>
    <w:basedOn w:val="24"/>
    <w:qFormat/>
    <w:uiPriority w:val="0"/>
    <w:rPr>
      <w:rFonts w:hint="eastAsia" w:ascii="宋体" w:hAnsi="宋体" w:eastAsia="宋体" w:cs="宋体"/>
      <w:color w:val="000000"/>
      <w:sz w:val="22"/>
      <w:szCs w:val="22"/>
    </w:rPr>
  </w:style>
  <w:style w:type="character" w:customStyle="1" w:styleId="35">
    <w:name w:val="font31"/>
    <w:basedOn w:val="24"/>
    <w:qFormat/>
    <w:uiPriority w:val="0"/>
    <w:rPr>
      <w:rFonts w:hint="default" w:ascii="Times New Roman" w:hAnsi="Times New Roman" w:cs="Times New Roman"/>
      <w:color w:val="000000"/>
      <w:sz w:val="22"/>
      <w:szCs w:val="22"/>
      <w:u w:val="none"/>
    </w:rPr>
  </w:style>
  <w:style w:type="character" w:customStyle="1" w:styleId="36">
    <w:name w:val="font21"/>
    <w:basedOn w:val="24"/>
    <w:qFormat/>
    <w:uiPriority w:val="0"/>
    <w:rPr>
      <w:rFonts w:hint="default" w:ascii="Times New Roman" w:hAnsi="Times New Roman" w:cs="Times New Roman"/>
      <w:color w:val="000000"/>
      <w:sz w:val="22"/>
      <w:szCs w:val="22"/>
      <w:u w:val="none"/>
    </w:rPr>
  </w:style>
  <w:style w:type="character" w:customStyle="1" w:styleId="37">
    <w:name w:val="font41"/>
    <w:basedOn w:val="24"/>
    <w:qFormat/>
    <w:uiPriority w:val="0"/>
    <w:rPr>
      <w:rFonts w:hint="eastAsia" w:ascii="宋体" w:hAnsi="宋体" w:eastAsia="宋体" w:cs="宋体"/>
      <w:color w:val="000000"/>
      <w:sz w:val="22"/>
      <w:szCs w:val="22"/>
      <w:u w:val="none"/>
    </w:rPr>
  </w:style>
  <w:style w:type="paragraph" w:customStyle="1" w:styleId="38">
    <w:name w:val="列出段落1"/>
    <w:basedOn w:val="1"/>
    <w:unhideWhenUsed/>
    <w:qFormat/>
    <w:uiPriority w:val="34"/>
    <w:pPr>
      <w:ind w:firstLine="420" w:firstLineChars="200"/>
    </w:pPr>
  </w:style>
  <w:style w:type="paragraph" w:customStyle="1" w:styleId="39">
    <w:name w:val="列出段落11"/>
    <w:basedOn w:val="1"/>
    <w:qFormat/>
    <w:uiPriority w:val="0"/>
    <w:pPr>
      <w:ind w:firstLine="420" w:firstLineChars="200"/>
    </w:pPr>
    <w:rPr>
      <w:rFonts w:ascii="Calibri" w:hAnsi="Calibri"/>
      <w:szCs w:val="22"/>
    </w:rPr>
  </w:style>
  <w:style w:type="character" w:customStyle="1" w:styleId="40">
    <w:name w:val="font01"/>
    <w:basedOn w:val="24"/>
    <w:qFormat/>
    <w:uiPriority w:val="0"/>
    <w:rPr>
      <w:rFonts w:hint="default" w:ascii="Times New Roman" w:hAnsi="Times New Roman" w:cs="Times New Roman"/>
      <w:color w:val="000000"/>
      <w:sz w:val="22"/>
      <w:szCs w:val="22"/>
      <w:u w:val="none"/>
    </w:rPr>
  </w:style>
  <w:style w:type="character" w:customStyle="1" w:styleId="41">
    <w:name w:val="font11"/>
    <w:basedOn w:val="24"/>
    <w:qFormat/>
    <w:uiPriority w:val="0"/>
    <w:rPr>
      <w:rFonts w:hint="eastAsia" w:ascii="宋体" w:hAnsi="宋体" w:eastAsia="宋体" w:cs="宋体"/>
      <w:color w:val="000000"/>
      <w:sz w:val="22"/>
      <w:szCs w:val="22"/>
      <w:u w:val="none"/>
    </w:rPr>
  </w:style>
  <w:style w:type="character" w:customStyle="1" w:styleId="42">
    <w:name w:val="标题 2 字符"/>
    <w:link w:val="3"/>
    <w:qFormat/>
    <w:uiPriority w:val="0"/>
    <w:rPr>
      <w:rFonts w:ascii="Times New Roman" w:hAnsi="Times New Roman" w:eastAsia="FangSong_GB2312"/>
      <w:b/>
      <w:bCs/>
      <w:sz w:val="36"/>
      <w:szCs w:val="32"/>
    </w:rPr>
  </w:style>
  <w:style w:type="character" w:customStyle="1" w:styleId="43">
    <w:name w:val="标题 3 字符"/>
    <w:link w:val="4"/>
    <w:qFormat/>
    <w:uiPriority w:val="0"/>
    <w:rPr>
      <w:rFonts w:ascii="Times New Roman" w:hAnsi="Times New Roman" w:eastAsia="宋体"/>
      <w:b/>
      <w:bCs/>
      <w:sz w:val="24"/>
      <w:szCs w:val="32"/>
    </w:rPr>
  </w:style>
  <w:style w:type="character" w:customStyle="1" w:styleId="44">
    <w:name w:val="标题 1 字符"/>
    <w:link w:val="2"/>
    <w:qFormat/>
    <w:uiPriority w:val="0"/>
    <w:rPr>
      <w:rFonts w:ascii="Times New Roman Bold" w:hAnsi="Times New Roman Bold" w:eastAsia="FangSong_GB2312"/>
      <w:b/>
      <w:sz w:val="44"/>
      <w:szCs w:val="28"/>
    </w:rPr>
  </w:style>
  <w:style w:type="paragraph" w:customStyle="1" w:styleId="45">
    <w:name w:val="Default"/>
    <w:qFormat/>
    <w:uiPriority w:val="0"/>
    <w:pPr>
      <w:widowControl w:val="0"/>
      <w:autoSpaceDE w:val="0"/>
      <w:autoSpaceDN w:val="0"/>
      <w:adjustRightInd w:val="0"/>
    </w:pPr>
    <w:rPr>
      <w:rFonts w:ascii="宋体" w:hAnsiTheme="minorHAnsi" w:eastAsiaTheme="minorEastAsia" w:cstheme="minorBidi"/>
      <w:color w:val="000000"/>
      <w:kern w:val="2"/>
      <w:sz w:val="24"/>
      <w:szCs w:val="24"/>
      <w:lang w:val="en-US" w:eastAsia="zh-CN" w:bidi="ar-SA"/>
    </w:rPr>
  </w:style>
  <w:style w:type="paragraph" w:customStyle="1" w:styleId="46">
    <w:name w:val="List Paragraph"/>
    <w:basedOn w:val="1"/>
    <w:link w:val="60"/>
    <w:unhideWhenUsed/>
    <w:qFormat/>
    <w:uiPriority w:val="34"/>
    <w:pPr>
      <w:ind w:firstLine="420" w:firstLineChars="200"/>
    </w:pPr>
  </w:style>
  <w:style w:type="paragraph" w:customStyle="1" w:styleId="47">
    <w:name w:val="图表标题"/>
    <w:basedOn w:val="1"/>
    <w:next w:val="29"/>
    <w:link w:val="52"/>
    <w:qFormat/>
    <w:uiPriority w:val="0"/>
    <w:pPr>
      <w:spacing w:line="360" w:lineRule="auto"/>
      <w:jc w:val="center"/>
    </w:pPr>
    <w:rPr>
      <w:rFonts w:hint="eastAsia" w:ascii="Times New Roman" w:hAnsi="Times New Roman" w:eastAsia="宋体"/>
      <w:b/>
    </w:rPr>
  </w:style>
  <w:style w:type="paragraph" w:customStyle="1" w:styleId="48">
    <w:name w:val="图表文字"/>
    <w:basedOn w:val="1"/>
    <w:qFormat/>
    <w:uiPriority w:val="0"/>
    <w:pPr>
      <w:topLinePunct/>
      <w:adjustRightInd/>
      <w:snapToGrid/>
      <w:jc w:val="center"/>
      <w:outlineLvl w:val="9"/>
    </w:pPr>
    <w:rPr>
      <w:rFonts w:ascii="Times New Roman" w:hAnsi="Times New Roman" w:cs="Times New Roman"/>
      <w:color w:val="000000" w:themeColor="text1"/>
      <w:szCs w:val="21"/>
      <w14:textFill>
        <w14:solidFill>
          <w14:schemeClr w14:val="tx1"/>
        </w14:solidFill>
      </w14:textFill>
    </w:rPr>
  </w:style>
  <w:style w:type="paragraph" w:customStyle="1" w:styleId="49">
    <w:name w:val="列出段落2"/>
    <w:basedOn w:val="1"/>
    <w:unhideWhenUsed/>
    <w:qFormat/>
    <w:uiPriority w:val="99"/>
    <w:pPr>
      <w:ind w:firstLine="420" w:firstLineChars="200"/>
    </w:pPr>
  </w:style>
  <w:style w:type="character" w:customStyle="1" w:styleId="50">
    <w:name w:val="font51"/>
    <w:basedOn w:val="24"/>
    <w:qFormat/>
    <w:uiPriority w:val="0"/>
    <w:rPr>
      <w:rFonts w:hint="eastAsia" w:ascii="宋体" w:hAnsi="宋体" w:eastAsia="宋体" w:cs="宋体"/>
      <w:color w:val="000000"/>
      <w:sz w:val="20"/>
      <w:szCs w:val="20"/>
      <w:u w:val="none"/>
    </w:rPr>
  </w:style>
  <w:style w:type="character" w:customStyle="1" w:styleId="51">
    <w:name w:val="font61"/>
    <w:basedOn w:val="24"/>
    <w:qFormat/>
    <w:uiPriority w:val="0"/>
    <w:rPr>
      <w:rFonts w:hint="default" w:ascii="Times New Roman" w:hAnsi="Times New Roman" w:cs="Times New Roman"/>
      <w:color w:val="000000"/>
      <w:sz w:val="21"/>
      <w:szCs w:val="21"/>
      <w:u w:val="none"/>
    </w:rPr>
  </w:style>
  <w:style w:type="character" w:customStyle="1" w:styleId="52">
    <w:name w:val="图表标题 Char"/>
    <w:link w:val="47"/>
    <w:qFormat/>
    <w:uiPriority w:val="0"/>
    <w:rPr>
      <w:rFonts w:hint="eastAsia" w:ascii="Times New Roman" w:hAnsi="Times New Roman" w:eastAsia="宋体"/>
      <w:b/>
    </w:rPr>
  </w:style>
  <w:style w:type="character" w:customStyle="1" w:styleId="53">
    <w:name w:val="标题 3 Char"/>
    <w:basedOn w:val="24"/>
    <w:link w:val="4"/>
    <w:qFormat/>
    <w:uiPriority w:val="0"/>
    <w:rPr>
      <w:rFonts w:ascii="Times New Roman" w:hAnsi="Times New Roman" w:eastAsia="宋体"/>
      <w:b/>
      <w:bCs/>
      <w:sz w:val="24"/>
      <w:szCs w:val="32"/>
    </w:rPr>
  </w:style>
  <w:style w:type="paragraph" w:customStyle="1" w:styleId="54">
    <w:name w:val="列出段落3"/>
    <w:basedOn w:val="1"/>
    <w:unhideWhenUsed/>
    <w:qFormat/>
    <w:uiPriority w:val="34"/>
    <w:pPr>
      <w:ind w:firstLine="420" w:firstLineChars="200"/>
    </w:pPr>
  </w:style>
  <w:style w:type="paragraph" w:customStyle="1" w:styleId="55">
    <w:name w:val="表格内容"/>
    <w:basedOn w:val="56"/>
    <w:next w:val="1"/>
    <w:qFormat/>
    <w:uiPriority w:val="0"/>
    <w:pPr>
      <w:keepNext w:val="0"/>
      <w:keepLines w:val="0"/>
      <w:spacing w:before="20" w:beforeLines="20" w:line="240" w:lineRule="auto"/>
      <w:ind w:firstLine="0" w:firstLineChars="0"/>
      <w:jc w:val="center"/>
    </w:pPr>
    <w:rPr>
      <w:rFonts w:ascii="Times New Roman" w:hAnsi="Times New Roman" w:eastAsia="宋体"/>
      <w:b w:val="0"/>
      <w:sz w:val="21"/>
    </w:rPr>
  </w:style>
  <w:style w:type="paragraph" w:customStyle="1" w:styleId="56">
    <w:name w:val="表格标题"/>
    <w:basedOn w:val="1"/>
    <w:next w:val="1"/>
    <w:qFormat/>
    <w:uiPriority w:val="0"/>
    <w:pPr>
      <w:spacing w:before="0" w:beforeLines="0" w:line="360" w:lineRule="auto"/>
      <w:ind w:firstLine="0" w:firstLineChars="0"/>
      <w:jc w:val="center"/>
    </w:pPr>
    <w:rPr>
      <w:rFonts w:ascii="Times New Roman" w:hAnsi="Times New Roman" w:eastAsia="宋体"/>
      <w:b/>
      <w:szCs w:val="20"/>
    </w:rPr>
  </w:style>
  <w:style w:type="character" w:customStyle="1" w:styleId="57">
    <w:name w:val="font71"/>
    <w:basedOn w:val="24"/>
    <w:qFormat/>
    <w:uiPriority w:val="0"/>
    <w:rPr>
      <w:rFonts w:hint="default" w:ascii="Times New Roman" w:hAnsi="Times New Roman" w:cs="Times New Roman"/>
      <w:color w:val="000000"/>
      <w:sz w:val="21"/>
      <w:szCs w:val="21"/>
      <w:u w:val="none"/>
    </w:rPr>
  </w:style>
  <w:style w:type="paragraph" w:customStyle="1" w:styleId="58">
    <w:name w:val="图表名称"/>
    <w:basedOn w:val="1"/>
    <w:qFormat/>
    <w:uiPriority w:val="0"/>
    <w:pPr>
      <w:ind w:firstLine="0" w:firstLineChars="0"/>
      <w:jc w:val="center"/>
    </w:pPr>
    <w:rPr>
      <w:b/>
    </w:rPr>
  </w:style>
  <w:style w:type="paragraph" w:customStyle="1" w:styleId="59">
    <w:name w:val="表格"/>
    <w:qFormat/>
    <w:uiPriority w:val="0"/>
    <w:pPr>
      <w:jc w:val="center"/>
    </w:pPr>
    <w:rPr>
      <w:rFonts w:ascii="Times New Roman" w:hAnsi="Times New Roman" w:eastAsia="仿宋" w:cs="仿宋_GB2312"/>
      <w:sz w:val="21"/>
      <w:szCs w:val="21"/>
      <w:lang w:val="en-US" w:eastAsia="zh-CN" w:bidi="ar-SA"/>
    </w:rPr>
  </w:style>
  <w:style w:type="character" w:customStyle="1" w:styleId="60">
    <w:name w:val="List Paragraph Char"/>
    <w:link w:val="46"/>
    <w:qFormat/>
    <w:uiPriority w:val="34"/>
  </w:style>
  <w:style w:type="paragraph" w:customStyle="1" w:styleId="61">
    <w:name w:val="BodyTextIndent2"/>
    <w:basedOn w:val="1"/>
    <w:qFormat/>
    <w:uiPriority w:val="0"/>
    <w:pPr>
      <w:spacing w:after="120" w:line="480" w:lineRule="auto"/>
      <w:ind w:left="420" w:left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header" Target="header1.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jpeg"/><Relationship Id="rId31" Type="http://schemas.openxmlformats.org/officeDocument/2006/relationships/image" Target="media/image12.jpeg"/><Relationship Id="rId30" Type="http://schemas.openxmlformats.org/officeDocument/2006/relationships/chart" Target="charts/chart3.xml"/><Relationship Id="rId3" Type="http://schemas.openxmlformats.org/officeDocument/2006/relationships/footer" Target="footer1.xml"/><Relationship Id="rId29" Type="http://schemas.openxmlformats.org/officeDocument/2006/relationships/chart" Target="charts/chart2.xml"/><Relationship Id="rId28" Type="http://schemas.openxmlformats.org/officeDocument/2006/relationships/image" Target="media/image11.jpeg"/><Relationship Id="rId27" Type="http://schemas.openxmlformats.org/officeDocument/2006/relationships/image" Target="media/image10.png"/><Relationship Id="rId26" Type="http://schemas.openxmlformats.org/officeDocument/2006/relationships/image" Target="media/image9.jpe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jpe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chart" Target="charts/chart1.xml"/><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4" Type="http://schemas.microsoft.com/office/2011/relationships/chartColorStyle" Target="colors2.xml"/><Relationship Id="rId3" Type="http://schemas.microsoft.com/office/2011/relationships/chartStyle" Target="style2.xml"/><Relationship Id="rId2" Type="http://schemas.openxmlformats.org/officeDocument/2006/relationships/themeOverride" Target="../theme/themeOverride2.xml"/><Relationship Id="rId1" Type="http://schemas.openxmlformats.org/officeDocument/2006/relationships/package" Target="../embeddings/Workbook2.xlsx"/></Relationships>
</file>

<file path=word/charts/_rels/chart2.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_rels/chart3.xml.rels><?xml version="1.0" encoding="UTF-8" standalone="yes"?>
<Relationships xmlns="http://schemas.openxmlformats.org/package/2006/relationships"><Relationship Id="rId4" Type="http://schemas.microsoft.com/office/2011/relationships/chartColorStyle" Target="colors3.xml"/><Relationship Id="rId3" Type="http://schemas.microsoft.com/office/2011/relationships/chartStyle" Target="style3.xml"/><Relationship Id="rId2" Type="http://schemas.openxmlformats.org/officeDocument/2006/relationships/themeOverride" Target="../theme/themeOverride3.xml"/><Relationship Id="rId1" Type="http://schemas.openxmlformats.org/officeDocument/2006/relationships/package" Target="../embeddings/Workbook3.xlsx"/></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true"/>
          <a:lstStyle/>
          <a:p>
            <a:pPr defTabSz="914400">
              <a:defRPr lang="zh-CN" sz="1400" b="1" i="0" u="none" strike="noStrike" kern="1200" baseline="0">
                <a:solidFill>
                  <a:sysClr val="windowText" lastClr="000000">
                    <a:lumMod val="75000"/>
                    <a:lumOff val="25000"/>
                  </a:sysClr>
                </a:solidFill>
                <a:latin typeface="+mn-lt"/>
                <a:ea typeface="+mn-ea"/>
                <a:cs typeface="+mn-cs"/>
              </a:defRPr>
            </a:pPr>
            <a:r>
              <a:t>老旧小区改造数量</a:t>
            </a:r>
          </a:p>
        </c:rich>
      </c:tx>
      <c:layout/>
      <c:overlay val="false"/>
      <c:spPr>
        <a:noFill/>
        <a:ln>
          <a:noFill/>
        </a:ln>
        <a:effectLst/>
      </c:spPr>
    </c:title>
    <c:autoTitleDeleted val="false"/>
    <c:plotArea>
      <c:layout/>
      <c:barChart>
        <c:barDir val="col"/>
        <c:grouping val="clustered"/>
        <c:varyColors val="false"/>
        <c:ser>
          <c:idx val="0"/>
          <c:order val="0"/>
          <c:tx>
            <c:strRef>
              <c:f>Sheet1!$B$1</c:f>
              <c:strCache>
                <c:ptCount val="1"/>
                <c:pt idx="0">
                  <c:v>2023年度</c:v>
                </c:pt>
              </c:strCache>
            </c:strRef>
          </c:tx>
          <c:spPr>
            <a:solidFill>
              <a:srgbClr val="4874CB"/>
            </a:solidFill>
            <a:ln>
              <a:noFill/>
            </a:ln>
            <a:effectLst/>
          </c:spPr>
          <c:invertIfNegative val="false"/>
          <c:dLbls>
            <c:spPr>
              <a:noFill/>
              <a:ln>
                <a:noFill/>
              </a:ln>
              <a:effectLst/>
            </c:spPr>
            <c:txPr>
              <a:bodyPr rot="0" spcFirstLastPara="0" vertOverflow="ellipsis" vert="horz" wrap="square" lIns="38100" tIns="19050" rIns="38100" bIns="19050" anchor="ctr" anchorCtr="true"/>
              <a:lstStyle/>
              <a:p>
                <a:pPr>
                  <a:defRPr lang="zh-CN" sz="1000" b="0" i="0" u="none" strike="noStrike" kern="1200" baseline="0">
                    <a:solidFill>
                      <a:sysClr val="windowText" lastClr="000000">
                        <a:lumMod val="75000"/>
                        <a:lumOff val="25000"/>
                      </a:sysClr>
                    </a:solidFill>
                    <a:latin typeface="+mn-lt"/>
                    <a:ea typeface="+mn-ea"/>
                    <a:cs typeface="+mn-cs"/>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ysClr val="windowText" lastClr="000000">
                          <a:lumMod val="35000"/>
                          <a:lumOff val="65000"/>
                        </a:sysClr>
                      </a:solidFill>
                      <a:round/>
                    </a:ln>
                    <a:effectLst/>
                  </c:spPr>
                </c15:leaderLines>
              </c:ext>
            </c:extLst>
          </c:dLbls>
          <c:cat>
            <c:strRef>
              <c:f>Sheet1!$A$2:$A$4</c:f>
              <c:strCache>
                <c:ptCount val="3"/>
                <c:pt idx="0">
                  <c:v>相山区</c:v>
                </c:pt>
                <c:pt idx="1">
                  <c:v>杜集区</c:v>
                </c:pt>
                <c:pt idx="2">
                  <c:v>烈山区</c:v>
                </c:pt>
              </c:strCache>
            </c:strRef>
          </c:cat>
          <c:val>
            <c:numRef>
              <c:f>Sheet1!$B$2:$B$4</c:f>
              <c:numCache>
                <c:formatCode>General</c:formatCode>
                <c:ptCount val="3"/>
                <c:pt idx="0">
                  <c:v>34</c:v>
                </c:pt>
                <c:pt idx="1">
                  <c:v>10</c:v>
                </c:pt>
                <c:pt idx="2">
                  <c:v>2</c:v>
                </c:pt>
              </c:numCache>
            </c:numRef>
          </c:val>
        </c:ser>
        <c:ser>
          <c:idx val="1"/>
          <c:order val="1"/>
          <c:tx>
            <c:strRef>
              <c:f>Sheet1!$C$1</c:f>
              <c:strCache>
                <c:ptCount val="1"/>
                <c:pt idx="0">
                  <c:v>2024年度</c:v>
                </c:pt>
              </c:strCache>
            </c:strRef>
          </c:tx>
          <c:spPr>
            <a:solidFill>
              <a:srgbClr val="EE822F"/>
            </a:solidFill>
            <a:ln>
              <a:noFill/>
            </a:ln>
            <a:effectLst/>
          </c:spPr>
          <c:invertIfNegative val="false"/>
          <c:dLbls>
            <c:spPr>
              <a:noFill/>
              <a:ln>
                <a:noFill/>
              </a:ln>
              <a:effectLst/>
            </c:spPr>
            <c:txPr>
              <a:bodyPr rot="0" spcFirstLastPara="0" vertOverflow="ellipsis" vert="horz" wrap="square" lIns="38100" tIns="19050" rIns="38100" bIns="19050" anchor="ctr" anchorCtr="true"/>
              <a:lstStyle/>
              <a:p>
                <a:pPr>
                  <a:defRPr lang="zh-CN" sz="1000" b="0" i="0" u="none" strike="noStrike" kern="1200" baseline="0">
                    <a:solidFill>
                      <a:sysClr val="windowText" lastClr="000000">
                        <a:lumMod val="75000"/>
                        <a:lumOff val="25000"/>
                      </a:sysClr>
                    </a:solidFill>
                    <a:latin typeface="+mn-lt"/>
                    <a:ea typeface="+mn-ea"/>
                    <a:cs typeface="+mn-cs"/>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ysClr val="windowText" lastClr="000000">
                          <a:lumMod val="35000"/>
                          <a:lumOff val="65000"/>
                        </a:sysClr>
                      </a:solidFill>
                      <a:round/>
                    </a:ln>
                    <a:effectLst/>
                  </c:spPr>
                </c15:leaderLines>
              </c:ext>
            </c:extLst>
          </c:dLbls>
          <c:cat>
            <c:strRef>
              <c:f>Sheet1!$A$2:$A$4</c:f>
              <c:strCache>
                <c:ptCount val="3"/>
                <c:pt idx="0">
                  <c:v>相山区</c:v>
                </c:pt>
                <c:pt idx="1">
                  <c:v>杜集区</c:v>
                </c:pt>
                <c:pt idx="2">
                  <c:v>烈山区</c:v>
                </c:pt>
              </c:strCache>
            </c:strRef>
          </c:cat>
          <c:val>
            <c:numRef>
              <c:f>Sheet1!$C$2:$C$4</c:f>
              <c:numCache>
                <c:formatCode>General</c:formatCode>
                <c:ptCount val="3"/>
                <c:pt idx="0">
                  <c:v>52</c:v>
                </c:pt>
                <c:pt idx="1">
                  <c:v>9</c:v>
                </c:pt>
                <c:pt idx="2">
                  <c:v>2</c:v>
                </c:pt>
              </c:numCache>
            </c:numRef>
          </c:val>
        </c:ser>
        <c:dLbls>
          <c:showLegendKey val="false"/>
          <c:showVal val="true"/>
          <c:showCatName val="false"/>
          <c:showSerName val="false"/>
          <c:showPercent val="false"/>
          <c:showBubbleSize val="false"/>
        </c:dLbls>
        <c:gapWidth val="246"/>
        <c:overlap val="-28"/>
        <c:axId val="418741660"/>
        <c:axId val="343039302"/>
      </c:barChart>
      <c:catAx>
        <c:axId val="418741660"/>
        <c:scaling>
          <c:orientation val="minMax"/>
        </c:scaling>
        <c:delete val="false"/>
        <c:axPos val="b"/>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0" vertOverflow="ellipsis" vert="horz" wrap="square" anchor="ctr" anchorCtr="true"/>
          <a:lstStyle/>
          <a:p>
            <a:pPr>
              <a:defRPr lang="zh-CN" sz="900" b="0" i="0" u="none" strike="noStrike" kern="1200" baseline="0">
                <a:solidFill>
                  <a:sysClr val="windowText" lastClr="000000">
                    <a:lumMod val="65000"/>
                    <a:lumOff val="35000"/>
                  </a:sysClr>
                </a:solidFill>
                <a:latin typeface="+mn-lt"/>
                <a:ea typeface="+mn-ea"/>
                <a:cs typeface="+mn-cs"/>
              </a:defRPr>
            </a:pPr>
          </a:p>
        </c:txPr>
        <c:crossAx val="343039302"/>
        <c:crosses val="autoZero"/>
        <c:auto val="true"/>
        <c:lblAlgn val="ctr"/>
        <c:lblOffset val="100"/>
        <c:noMultiLvlLbl val="false"/>
      </c:catAx>
      <c:valAx>
        <c:axId val="343039302"/>
        <c:scaling>
          <c:orientation val="minMax"/>
        </c:scaling>
        <c:delete val="false"/>
        <c:axPos val="l"/>
        <c:majorGridlines>
          <c:spPr>
            <a:ln w="9525" cap="flat" cmpd="sng" algn="ctr">
              <a:solidFill>
                <a:sysClr val="window" lastClr="FFFFFF">
                  <a:lumMod val="90200"/>
                </a:sysClr>
              </a:solidFill>
              <a:round/>
            </a:ln>
            <a:effectLst/>
          </c:spPr>
        </c:majorGridlines>
        <c:numFmt formatCode="General" sourceLinked="true"/>
        <c:majorTickMark val="none"/>
        <c:minorTickMark val="none"/>
        <c:tickLblPos val="nextTo"/>
        <c:spPr>
          <a:noFill/>
          <a:ln>
            <a:noFill/>
          </a:ln>
          <a:effectLst/>
        </c:spPr>
        <c:txPr>
          <a:bodyPr rot="-60000000" spcFirstLastPara="0" vertOverflow="ellipsis" vert="horz" wrap="square" anchor="ctr" anchorCtr="true"/>
          <a:lstStyle/>
          <a:p>
            <a:pPr>
              <a:defRPr lang="zh-CN" sz="900" b="0" i="0" u="none" strike="noStrike" kern="1200" baseline="0">
                <a:solidFill>
                  <a:sysClr val="windowText" lastClr="000000">
                    <a:lumMod val="65000"/>
                    <a:lumOff val="35000"/>
                  </a:sysClr>
                </a:solidFill>
                <a:latin typeface="+mn-lt"/>
                <a:ea typeface="+mn-ea"/>
                <a:cs typeface="+mn-cs"/>
              </a:defRPr>
            </a:pPr>
          </a:p>
        </c:txPr>
        <c:crossAx val="418741660"/>
        <c:crosses val="autoZero"/>
        <c:crossBetween val="between"/>
      </c:valAx>
      <c:spPr>
        <a:noFill/>
        <a:ln>
          <a:noFill/>
        </a:ln>
        <a:effectLst/>
      </c:spPr>
    </c:plotArea>
    <c:legend>
      <c:legendPos val="b"/>
      <c:layout/>
      <c:overlay val="false"/>
      <c:spPr>
        <a:noFill/>
        <a:ln>
          <a:noFill/>
        </a:ln>
        <a:effectLst/>
      </c:spPr>
      <c:txPr>
        <a:bodyPr rot="0" spcFirstLastPara="0" vertOverflow="ellipsis" vert="horz" wrap="square" anchor="ctr" anchorCtr="true"/>
        <a:lstStyle/>
        <a:p>
          <a:pPr>
            <a:defRPr lang="zh-CN" sz="900" b="0" i="0" u="none" strike="noStrike" kern="1200" baseline="0">
              <a:solidFill>
                <a:sysClr val="windowText" lastClr="000000">
                  <a:lumMod val="65000"/>
                  <a:lumOff val="35000"/>
                </a:sysClr>
              </a:solidFill>
              <a:latin typeface="+mn-lt"/>
              <a:ea typeface="+mn-ea"/>
              <a:cs typeface="+mn-cs"/>
            </a:defRPr>
          </a:pPr>
        </a:p>
      </c:txPr>
    </c:legend>
    <c:plotVisOnly val="true"/>
    <c:dispBlanksAs val="gap"/>
    <c:showDLblsOverMax val="false"/>
  </c:chart>
  <c:spPr>
    <a:solidFill>
      <a:sysClr val="window" lastClr="FFFFFF"/>
    </a:solidFill>
    <a:ln w="9525" cap="flat" cmpd="sng" algn="ctr">
      <a:noFill/>
      <a:round/>
    </a:ln>
    <a:effectLst/>
  </c:spPr>
  <c:txPr>
    <a:bodyPr/>
    <a:lstStyle/>
    <a:p>
      <a:pPr>
        <a:defRPr lang="zh-CN"/>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true"/>
          <a:lstStyle/>
          <a:p>
            <a:pPr defTabSz="914400">
              <a:defRPr lang="zh-CN" sz="1260" b="1" i="0" u="none" strike="noStrike" kern="1200" baseline="0">
                <a:solidFill>
                  <a:sysClr val="windowText" lastClr="000000">
                    <a:lumMod val="75000"/>
                    <a:lumOff val="25000"/>
                  </a:sysClr>
                </a:solidFill>
                <a:latin typeface="+mn-lt"/>
                <a:ea typeface="+mn-ea"/>
                <a:cs typeface="+mn-cs"/>
              </a:defRPr>
            </a:pPr>
            <a:r>
              <a:rPr sz="1050"/>
              <a:t>认为下一阶段城市更新工作需要提升的方面</a:t>
            </a:r>
            <a:endParaRPr sz="1050"/>
          </a:p>
        </c:rich>
      </c:tx>
      <c:layout/>
      <c:overlay val="false"/>
      <c:spPr>
        <a:noFill/>
        <a:ln>
          <a:noFill/>
        </a:ln>
        <a:effectLst/>
      </c:spPr>
    </c:title>
    <c:autoTitleDeleted val="false"/>
    <c:plotArea>
      <c:layout/>
      <c:barChart>
        <c:barDir val="col"/>
        <c:grouping val="clustered"/>
        <c:varyColors val="false"/>
        <c:ser>
          <c:idx val="0"/>
          <c:order val="0"/>
          <c:tx>
            <c:strRef>
              <c:f>Sheet1!$B$1</c:f>
              <c:strCache>
                <c:ptCount val="1"/>
                <c:pt idx="0">
                  <c:v>系列 1</c:v>
                </c:pt>
              </c:strCache>
            </c:strRef>
          </c:tx>
          <c:spPr>
            <a:solidFill>
              <a:srgbClr val="5B9BD5"/>
            </a:solidFill>
            <a:ln>
              <a:noFill/>
            </a:ln>
            <a:effectLst/>
          </c:spPr>
          <c:invertIfNegative val="false"/>
          <c:dLbls>
            <c:delete val="true"/>
          </c:dLbls>
          <c:cat>
            <c:strRef>
              <c:f>Sheet1!$A$2:$A$10</c:f>
              <c:strCache>
                <c:ptCount val="9"/>
                <c:pt idx="0">
                  <c:v>加大程序公开</c:v>
                </c:pt>
                <c:pt idx="1">
                  <c:v>加大公众参与力度</c:v>
                </c:pt>
                <c:pt idx="2">
                  <c:v>加大政策、资金支持力度</c:v>
                </c:pt>
                <c:pt idx="3">
                  <c:v>加强监督管理</c:v>
                </c:pt>
                <c:pt idx="4">
                  <c:v>完善文体、医疗功能</c:v>
                </c:pt>
                <c:pt idx="5">
                  <c:v>提升市政基础设施</c:v>
                </c:pt>
                <c:pt idx="6">
                  <c:v>加强历史文化保护传承</c:v>
                </c:pt>
                <c:pt idx="7">
                  <c:v>无提升意见</c:v>
                </c:pt>
                <c:pt idx="8">
                  <c:v>其他</c:v>
                </c:pt>
              </c:strCache>
            </c:strRef>
          </c:cat>
          <c:val>
            <c:numRef>
              <c:f>Sheet1!$B$2:$B$10</c:f>
              <c:numCache>
                <c:formatCode>0.0%</c:formatCode>
                <c:ptCount val="9"/>
                <c:pt idx="0">
                  <c:v>0.414893617021277</c:v>
                </c:pt>
                <c:pt idx="1">
                  <c:v>0.542553191489362</c:v>
                </c:pt>
                <c:pt idx="2">
                  <c:v>0.556737588652482</c:v>
                </c:pt>
                <c:pt idx="3">
                  <c:v>0.560283687943262</c:v>
                </c:pt>
                <c:pt idx="4">
                  <c:v>0.592198581560284</c:v>
                </c:pt>
                <c:pt idx="5">
                  <c:v>0.50354609929078</c:v>
                </c:pt>
                <c:pt idx="6">
                  <c:v>0.290780141843972</c:v>
                </c:pt>
                <c:pt idx="7">
                  <c:v>0.0602836879432624</c:v>
                </c:pt>
                <c:pt idx="8">
                  <c:v>0.0177304964539007</c:v>
                </c:pt>
              </c:numCache>
            </c:numRef>
          </c:val>
        </c:ser>
        <c:dLbls>
          <c:showLegendKey val="false"/>
          <c:showVal val="false"/>
          <c:showCatName val="false"/>
          <c:showSerName val="false"/>
          <c:showPercent val="false"/>
          <c:showBubbleSize val="false"/>
        </c:dLbls>
        <c:gapWidth val="246"/>
        <c:overlap val="-28"/>
        <c:axId val="281350264"/>
        <c:axId val="434069117"/>
      </c:barChart>
      <c:catAx>
        <c:axId val="281350264"/>
        <c:scaling>
          <c:orientation val="minMax"/>
        </c:scaling>
        <c:delete val="false"/>
        <c:axPos val="b"/>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0" vertOverflow="ellipsis" vert="horz" wrap="square" anchor="ctr" anchorCtr="true"/>
          <a:lstStyle/>
          <a:p>
            <a:pPr>
              <a:defRPr lang="zh-CN" sz="1050" b="0" i="0" u="none" strike="noStrike" kern="1200" baseline="0">
                <a:solidFill>
                  <a:sysClr val="windowText" lastClr="000000">
                    <a:lumMod val="65000"/>
                    <a:lumOff val="35000"/>
                  </a:sysClr>
                </a:solidFill>
                <a:latin typeface="+mn-lt"/>
                <a:ea typeface="+mn-ea"/>
                <a:cs typeface="+mn-cs"/>
              </a:defRPr>
            </a:pPr>
          </a:p>
        </c:txPr>
        <c:crossAx val="434069117"/>
        <c:crosses val="autoZero"/>
        <c:auto val="true"/>
        <c:lblAlgn val="ctr"/>
        <c:lblOffset val="100"/>
        <c:noMultiLvlLbl val="false"/>
      </c:catAx>
      <c:valAx>
        <c:axId val="434069117"/>
        <c:scaling>
          <c:orientation val="minMax"/>
        </c:scaling>
        <c:delete val="false"/>
        <c:axPos val="l"/>
        <c:majorGridlines>
          <c:spPr>
            <a:ln w="9525" cap="flat" cmpd="sng" algn="ctr">
              <a:solidFill>
                <a:sysClr val="window" lastClr="FFFFFF">
                  <a:lumMod val="90200"/>
                </a:sysClr>
              </a:solidFill>
              <a:round/>
            </a:ln>
            <a:effectLst/>
          </c:spPr>
        </c:majorGridlines>
        <c:numFmt formatCode="0.0%" sourceLinked="true"/>
        <c:majorTickMark val="none"/>
        <c:minorTickMark val="none"/>
        <c:tickLblPos val="nextTo"/>
        <c:spPr>
          <a:noFill/>
          <a:ln>
            <a:noFill/>
          </a:ln>
          <a:effectLst/>
        </c:spPr>
        <c:txPr>
          <a:bodyPr rot="-60000000" spcFirstLastPara="0" vertOverflow="ellipsis" vert="horz" wrap="square" anchor="ctr" anchorCtr="true"/>
          <a:lstStyle/>
          <a:p>
            <a:pPr>
              <a:defRPr lang="zh-CN" sz="1050" b="0" i="0" u="none" strike="noStrike" kern="1200" baseline="0">
                <a:solidFill>
                  <a:sysClr val="windowText" lastClr="000000">
                    <a:lumMod val="65000"/>
                    <a:lumOff val="35000"/>
                  </a:sysClr>
                </a:solidFill>
                <a:latin typeface="+mn-lt"/>
                <a:ea typeface="+mn-ea"/>
                <a:cs typeface="+mn-cs"/>
              </a:defRPr>
            </a:pPr>
          </a:p>
        </c:txPr>
        <c:crossAx val="281350264"/>
        <c:crosses val="autoZero"/>
        <c:crossBetween val="between"/>
      </c:valAx>
      <c:dTable>
        <c:showHorzBorder val="true"/>
        <c:showVertBorder val="true"/>
        <c:showOutline val="true"/>
        <c:showKeys val="true"/>
        <c:spPr>
          <a:noFill/>
          <a:ln w="9525" cap="flat" cmpd="sng" algn="ctr">
            <a:solidFill>
              <a:sysClr val="windowText" lastClr="000000">
                <a:lumMod val="15000"/>
                <a:lumOff val="85000"/>
              </a:sysClr>
            </a:solidFill>
            <a:round/>
          </a:ln>
          <a:effectLst/>
        </c:spPr>
        <c:txPr>
          <a:bodyPr rot="0" spcFirstLastPara="0" vertOverflow="ellipsis" vert="horz" wrap="square" anchor="ctr" anchorCtr="true"/>
          <a:lstStyle/>
          <a:p>
            <a:pPr>
              <a:defRPr lang="zh-CN" sz="1050" b="0" i="0" u="none" strike="noStrike" kern="1200" baseline="0">
                <a:solidFill>
                  <a:sysClr val="windowText" lastClr="000000">
                    <a:lumMod val="65000"/>
                    <a:lumOff val="35000"/>
                  </a:sysClr>
                </a:solidFill>
                <a:latin typeface="+mn-lt"/>
                <a:ea typeface="+mn-ea"/>
                <a:cs typeface="+mn-cs"/>
              </a:defRPr>
            </a:pPr>
          </a:p>
        </c:txPr>
      </c:dTable>
      <c:spPr>
        <a:noFill/>
        <a:ln>
          <a:noFill/>
        </a:ln>
        <a:effectLst/>
      </c:spPr>
    </c:plotArea>
    <c:plotVisOnly val="true"/>
    <c:dispBlanksAs val="gap"/>
    <c:showDLblsOverMax val="false"/>
  </c:chart>
  <c:spPr>
    <a:solidFill>
      <a:sysClr val="window" lastClr="FFFFFF"/>
    </a:solidFill>
    <a:ln w="9525" cap="flat" cmpd="sng" algn="ctr">
      <a:noFill/>
      <a:round/>
    </a:ln>
    <a:effectLst/>
  </c:spPr>
  <c:txPr>
    <a:bodyPr/>
    <a:lstStyle/>
    <a:p>
      <a:pPr>
        <a:defRPr lang="zh-CN" sz="1050"/>
      </a:pPr>
    </a:p>
  </c:txPr>
  <c:externalData r:id="rId1">
    <c:autoUpdate val="false"/>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true"/>
    <c:plotArea>
      <c:layout>
        <c:manualLayout>
          <c:layoutTarget val="inner"/>
          <c:xMode val="edge"/>
          <c:yMode val="edge"/>
          <c:x val="0.0971272229822161"/>
          <c:y val="0.0202597402597403"/>
          <c:w val="0.695524721516514"/>
          <c:h val="0.924415584415584"/>
        </c:manualLayout>
      </c:layout>
      <c:pieChart>
        <c:varyColors val="true"/>
        <c:ser>
          <c:idx val="0"/>
          <c:order val="0"/>
          <c:tx>
            <c:strRef>
              <c:f>Sheet1!$B$1</c:f>
              <c:strCache>
                <c:ptCount val="1"/>
                <c:pt idx="0">
                  <c:v>销售额</c:v>
                </c:pt>
              </c:strCache>
            </c:strRef>
          </c:tx>
          <c:spPr/>
          <c:explosion val="0"/>
          <c:dPt>
            <c:idx val="0"/>
            <c:bubble3D val="false"/>
            <c:spPr>
              <a:solidFill>
                <a:srgbClr val="5B9BD5"/>
              </a:solidFill>
              <a:ln>
                <a:solidFill>
                  <a:sysClr val="window" lastClr="FFFFFF"/>
                </a:solidFill>
              </a:ln>
              <a:effectLst/>
            </c:spPr>
          </c:dPt>
          <c:dPt>
            <c:idx val="1"/>
            <c:bubble3D val="false"/>
            <c:spPr>
              <a:solidFill>
                <a:srgbClr val="ED7D31"/>
              </a:solidFill>
              <a:ln>
                <a:solidFill>
                  <a:sysClr val="window" lastClr="FFFFFF"/>
                </a:solidFill>
              </a:ln>
              <a:effectLst/>
            </c:spPr>
          </c:dPt>
          <c:dPt>
            <c:idx val="2"/>
            <c:bubble3D val="false"/>
            <c:spPr>
              <a:solidFill>
                <a:srgbClr val="A5A5A5"/>
              </a:solidFill>
              <a:ln>
                <a:solidFill>
                  <a:sysClr val="window" lastClr="FFFFFF"/>
                </a:solidFill>
              </a:ln>
              <a:effectLst/>
            </c:spPr>
          </c:dPt>
          <c:dLbls>
            <c:dLbl>
              <c:idx val="0"/>
              <c:layout>
                <c:manualLayout>
                  <c:x val="-0.216860738752396"/>
                  <c:y val="-0.0843306382511781"/>
                </c:manualLayout>
              </c:layout>
              <c:dLblPos val="bestFit"/>
              <c:showLegendKey val="false"/>
              <c:showVal val="true"/>
              <c:showCatName val="false"/>
              <c:showSerName val="false"/>
              <c:showPercent val="false"/>
              <c:showBubbleSize val="false"/>
              <c:extLst>
                <c:ext xmlns:c15="http://schemas.microsoft.com/office/drawing/2012/chart" uri="{CE6537A1-D6FC-4f65-9D91-7224C49458BB}">
                  <c15:layout/>
                </c:ext>
              </c:extLst>
            </c:dLbl>
            <c:dLbl>
              <c:idx val="1"/>
              <c:layout>
                <c:manualLayout>
                  <c:x val="0.191473098581551"/>
                  <c:y val="0.0488412902959433"/>
                </c:manualLayout>
              </c:layout>
              <c:dLblPos val="bestFit"/>
              <c:showLegendKey val="false"/>
              <c:showVal val="true"/>
              <c:showCatName val="false"/>
              <c:showSerName val="false"/>
              <c:showPercent val="false"/>
              <c:showBubbleSize val="false"/>
              <c:extLst>
                <c:ext xmlns:c15="http://schemas.microsoft.com/office/drawing/2012/chart" uri="{CE6537A1-D6FC-4f65-9D91-7224C49458BB}">
                  <c15:layout/>
                </c:ext>
              </c:extLst>
            </c:dLbl>
            <c:dLbl>
              <c:idx val="2"/>
              <c:layout>
                <c:manualLayout>
                  <c:x val="0.0230604619046337"/>
                  <c:y val="0.0602360711333758"/>
                </c:manualLayout>
              </c:layout>
              <c:dLblPos val="bestFit"/>
              <c:showLegendKey val="false"/>
              <c:showVal val="true"/>
              <c:showCatName val="false"/>
              <c:showSerName val="false"/>
              <c:showPercent val="false"/>
              <c:showBubbleSize val="false"/>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true"/>
              <a:lstStyle/>
              <a:p>
                <a:pPr>
                  <a:defRPr lang="zh-CN" sz="1000" b="0" i="0" u="none" strike="noStrike" kern="1200" baseline="0">
                    <a:solidFill>
                      <a:sysClr val="windowText" lastClr="000000">
                        <a:lumMod val="75000"/>
                        <a:lumOff val="25000"/>
                      </a:sysClr>
                    </a:solidFill>
                    <a:latin typeface="+mn-lt"/>
                    <a:ea typeface="+mn-ea"/>
                    <a:cs typeface="+mn-cs"/>
                  </a:defRPr>
                </a:pPr>
              </a:p>
            </c:txPr>
            <c:dLblPos val="bestFit"/>
            <c:showLegendKey val="false"/>
            <c:showVal val="true"/>
            <c:showCatName val="false"/>
            <c:showSerName val="false"/>
            <c:showPercent val="false"/>
            <c:showBubbleSize val="false"/>
            <c:showLeaderLines val="true"/>
            <c:extLst>
              <c:ext xmlns:c15="http://schemas.microsoft.com/office/drawing/2012/chart" uri="{CE6537A1-D6FC-4f65-9D91-7224C49458BB}">
                <c15:layout/>
                <c15:showLeaderLines val="true"/>
                <c15:leaderLines>
                  <c:spPr>
                    <a:ln w="9525" cap="flat" cmpd="sng" algn="ctr">
                      <a:solidFill>
                        <a:sysClr val="windowText" lastClr="000000">
                          <a:lumMod val="35000"/>
                          <a:lumOff val="65000"/>
                        </a:sysClr>
                      </a:solidFill>
                      <a:round/>
                    </a:ln>
                    <a:effectLst/>
                  </c:spPr>
                </c15:leaderLines>
              </c:ext>
            </c:extLst>
          </c:dLbls>
          <c:cat>
            <c:strRef>
              <c:f>Sheet1!$A$2:$A$4</c:f>
              <c:strCache>
                <c:ptCount val="3"/>
                <c:pt idx="0">
                  <c:v>满意</c:v>
                </c:pt>
                <c:pt idx="1">
                  <c:v>基本满意</c:v>
                </c:pt>
                <c:pt idx="2">
                  <c:v>不满意</c:v>
                </c:pt>
              </c:strCache>
            </c:strRef>
          </c:cat>
          <c:val>
            <c:numRef>
              <c:f>Sheet1!$B$2:$B$4</c:f>
              <c:numCache>
                <c:formatCode>0.0%</c:formatCode>
                <c:ptCount val="3"/>
                <c:pt idx="0">
                  <c:v>0.606382978723404</c:v>
                </c:pt>
                <c:pt idx="1">
                  <c:v>0.347517730496454</c:v>
                </c:pt>
                <c:pt idx="2">
                  <c:v>0.0460992907801418</c:v>
                </c:pt>
              </c:numCache>
            </c:numRef>
          </c:val>
        </c:ser>
        <c:dLbls>
          <c:showLegendKey val="false"/>
          <c:showVal val="true"/>
          <c:showCatName val="false"/>
          <c:showSerName val="false"/>
          <c:showPercent val="false"/>
          <c:showBubbleSize val="false"/>
          <c:showLeaderLines val="true"/>
        </c:dLbls>
        <c:firstSliceAng val="0"/>
      </c:pieChart>
      <c:spPr>
        <a:noFill/>
        <a:ln>
          <a:noFill/>
        </a:ln>
        <a:effectLst/>
      </c:spPr>
    </c:plotArea>
    <c:legend>
      <c:legendPos val="t"/>
      <c:layout>
        <c:manualLayout>
          <c:xMode val="edge"/>
          <c:yMode val="edge"/>
          <c:x val="0.761372931657718"/>
          <c:y val="0.281462057232249"/>
          <c:w val="0.232362712526871"/>
          <c:h val="0.453766233766234"/>
        </c:manualLayout>
      </c:layout>
      <c:overlay val="false"/>
      <c:spPr>
        <a:noFill/>
        <a:ln>
          <a:noFill/>
        </a:ln>
        <a:effectLst/>
      </c:spPr>
      <c:txPr>
        <a:bodyPr rot="0" spcFirstLastPara="0" vertOverflow="ellipsis" vert="horz" wrap="square" anchor="ctr" anchorCtr="true"/>
        <a:lstStyle/>
        <a:p>
          <a:pPr>
            <a:defRPr lang="zh-CN" sz="900" b="0" i="0" u="none" strike="noStrike" kern="1200" baseline="0">
              <a:solidFill>
                <a:sysClr val="windowText" lastClr="000000">
                  <a:lumMod val="65000"/>
                  <a:lumOff val="35000"/>
                </a:sysClr>
              </a:solidFill>
              <a:latin typeface="+mn-lt"/>
              <a:ea typeface="+mn-ea"/>
              <a:cs typeface="+mn-cs"/>
            </a:defRPr>
          </a:pPr>
        </a:p>
      </c:txPr>
    </c:legend>
    <c:plotVisOnly val="true"/>
    <c:dispBlanksAs val="gap"/>
    <c:showDLblsOverMax val="false"/>
  </c:chart>
  <c:spPr>
    <a:solidFill>
      <a:sysClr val="window" lastClr="FFFFFF"/>
    </a:solidFill>
    <a:ln w="9525" cap="flat" cmpd="sng" algn="ctr">
      <a:noFill/>
      <a:round/>
    </a:ln>
    <a:effectLst/>
  </c:spPr>
  <c:txPr>
    <a:bodyPr/>
    <a:lstStyle/>
    <a:p>
      <a:pPr>
        <a:defRPr lang="zh-CN"/>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1">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10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1000" kern="1200"/>
    <cs:bodyPr rot="0" spcFirstLastPara="1" vertOverflow="clip" horzOverflow="clip" vert="horz" wrap="square" lIns="36576" tIns="18288" rIns="36576" bIns="18288" anchor="ctr" anchorCtr="true">
      <a:spAutoFit/>
    </cs:bodyPr>
  </cs:dataLabelCallout>
  <cs:dataPoint>
    <cs:lnRef idx="0">
      <cs:styleClr val="auto"/>
    </cs:lnRef>
    <cs:fillRef idx="1">
      <cs:styleClr val="auto"/>
    </cs:fillRef>
    <cs:effectRef idx="0"/>
    <cs:fontRef idx="minor">
      <a:sysClr val="windowText" lastClr="000000"/>
    </cs:fontRef>
    <cs:spPr>
      <a:ln>
        <a:noFill/>
      </a:ln>
      <a:effectLst/>
    </cs:spPr>
  </cs:dataPoint>
  <cs:dataPoint3D>
    <cs:lnRef idx="0"/>
    <cs:fillRef idx="1">
      <cs:styleClr val="auto"/>
    </cs:fillRef>
    <cs:effectRef idx="0"/>
    <cs:fontRef idx="minor">
      <a:sysClr val="windowText" lastClr="000000"/>
    </cs:fontRef>
  </cs:dataPoint3D>
  <cs:dataPointLine>
    <cs:lnRef idx="0">
      <cs:styleClr val="auto"/>
    </cs:lnRef>
    <cs:fillRef idx="1"/>
    <cs:effectRef idx="0"/>
    <cs:fontRef idx="minor">
      <a:sysClr val="windowText" lastClr="000000"/>
    </cs:fontRef>
    <cs:spPr>
      <a:ln w="28575" cap="rnd">
        <a:solidFill>
          <a:schemeClr val="phClr"/>
        </a:solidFill>
        <a:round/>
      </a:ln>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1"/>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65000"/>
          <a:lumOff val="35000"/>
        </a:sysClr>
      </a:solidFill>
      <a:ln w="9525">
        <a:solidFill>
          <a:sysClr val="windowText" lastClr="000000">
            <a:lumMod val="65000"/>
            <a:lumOff val="35000"/>
          </a:sysClr>
        </a:solidFill>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 lastClr="FFFFFF">
            <a:lumMod val="902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75000"/>
            <a:lumOff val="25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75000"/>
        <a:lumOff val="25000"/>
      </a:sysClr>
    </cs:fontRef>
    <cs:defRPr sz="1400" b="1" kern="120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Text" lastClr="000000">
            <a:lumMod val="15000"/>
            <a:lumOff val="85000"/>
          </a:sysClr>
        </a:solidFill>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charts/style2.xml><?xml version="1.0" encoding="utf-8"?>
<cs:chartStyle xmlns:cs="http://schemas.microsoft.com/office/drawing/2012/chartStyle" xmlns:a="http://schemas.openxmlformats.org/drawingml/2006/main" id="10001">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10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1000" kern="1200"/>
    <cs:bodyPr rot="0" spcFirstLastPara="1" vertOverflow="clip" horzOverflow="clip" vert="horz" wrap="square" lIns="36576" tIns="18288" rIns="36576" bIns="18288" anchor="ctr" anchorCtr="true">
      <a:spAutoFit/>
    </cs:bodyPr>
  </cs:dataLabelCallout>
  <cs:dataPoint>
    <cs:lnRef idx="0">
      <cs:styleClr val="auto"/>
    </cs:lnRef>
    <cs:fillRef idx="1">
      <cs:styleClr val="auto"/>
    </cs:fillRef>
    <cs:effectRef idx="0"/>
    <cs:fontRef idx="minor">
      <a:sysClr val="windowText" lastClr="000000"/>
    </cs:fontRef>
    <cs:spPr>
      <a:ln>
        <a:noFill/>
      </a:ln>
      <a:effectLst/>
    </cs:spPr>
  </cs:dataPoint>
  <cs:dataPoint3D>
    <cs:lnRef idx="0"/>
    <cs:fillRef idx="1">
      <cs:styleClr val="auto"/>
    </cs:fillRef>
    <cs:effectRef idx="0"/>
    <cs:fontRef idx="minor">
      <a:sysClr val="windowText" lastClr="000000"/>
    </cs:fontRef>
  </cs:dataPoint3D>
  <cs:dataPointLine>
    <cs:lnRef idx="0">
      <cs:styleClr val="auto"/>
    </cs:lnRef>
    <cs:fillRef idx="1"/>
    <cs:effectRef idx="0"/>
    <cs:fontRef idx="minor">
      <a:sysClr val="windowText" lastClr="000000"/>
    </cs:fontRef>
    <cs:spPr>
      <a:ln w="28575" cap="rnd">
        <a:solidFill>
          <a:schemeClr val="phClr"/>
        </a:solidFill>
        <a:round/>
      </a:ln>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1"/>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65000"/>
          <a:lumOff val="35000"/>
        </a:sysClr>
      </a:solidFill>
      <a:ln w="9525">
        <a:solidFill>
          <a:sysClr val="windowText" lastClr="000000">
            <a:lumMod val="65000"/>
            <a:lumOff val="35000"/>
          </a:sysClr>
        </a:solidFill>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 lastClr="FFFFFF">
            <a:lumMod val="902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75000"/>
            <a:lumOff val="25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75000"/>
        <a:lumOff val="25000"/>
      </a:sysClr>
    </cs:fontRef>
    <cs:defRPr sz="1400" b="1" kern="120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a:solidFill>
          <a:sysClr val="windowText" lastClr="000000">
            <a:lumMod val="15000"/>
            <a:lumOff val="85000"/>
          </a:sysClr>
        </a:solidFill>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charts/style3.xml><?xml version="1.0" encoding="utf-8"?>
<cs:chartStyle xmlns:cs="http://schemas.microsoft.com/office/drawing/2012/chartStyle" xmlns:a="http://schemas.openxmlformats.org/drawingml/2006/main" id="10082">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15000"/>
            <a:lumOff val="8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900" kern="1200"/>
  </cs:chartArea>
  <cs:dataLabel>
    <cs:lnRef idx="0"/>
    <cs:fillRef idx="0"/>
    <cs:effectRef idx="0"/>
    <cs:fontRef idx="minor">
      <a:sysClr val="windowText" lastClr="000000">
        <a:lumMod val="75000"/>
        <a:lumOff val="25000"/>
      </a:sysClr>
    </cs:fontRef>
    <cs:defRPr sz="10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1000" kern="1200"/>
    <cs:bodyPr rot="0" spcFirstLastPara="1" vertOverflow="clip" horzOverflow="clip" vert="horz" wrap="square" lIns="36576" tIns="18288" rIns="36576" bIns="18288" anchor="ctr" anchorCtr="true">
      <a:spAutoFit/>
    </cs:bodyPr>
  </cs:dataLabelCallout>
  <cs:dataPoint>
    <cs:lnRef idx="0">
      <cs:styleClr val="auto"/>
    </cs:lnRef>
    <cs:fillRef idx="1">
      <cs:styleClr val="auto"/>
    </cs:fillRef>
    <cs:effectRef idx="0"/>
    <cs:fontRef idx="minor">
      <a:sysClr val="windowText" lastClr="000000"/>
    </cs:fontRef>
    <cs:spPr>
      <a:ln>
        <a:solidFill>
          <a:sysClr val="window" lastClr="FFFFFF"/>
        </a:solidFill>
      </a:ln>
      <a:effectLst/>
    </cs:spPr>
  </cs:dataPoint>
  <cs:dataPoint3D>
    <cs:lnRef idx="0"/>
    <cs:fillRef idx="1">
      <cs:styleClr val="auto"/>
    </cs:fillRef>
    <cs:effectRef idx="0"/>
    <cs:fontRef idx="minor">
      <a:sysClr val="windowText" lastClr="000000"/>
    </cs:fontRef>
    <cs:spPr>
      <a:ln w="25400">
        <a:solidFill>
          <a:sysClr val="window" lastClr="FFFFFF"/>
        </a:solidFill>
      </a:ln>
    </cs:spPr>
  </cs:dataPoint3D>
  <cs:dataPointLine>
    <cs:lnRef idx="0">
      <cs:styleClr val="auto"/>
    </cs:lnRef>
    <cs:fillRef idx="0"/>
    <cs:effectRef idx="0"/>
    <cs:fontRef idx="minor">
      <a:sysClr val="windowText" lastClr="000000"/>
    </cs:fontRef>
    <cs:spPr>
      <a:ln w="28575" cap="rnd">
        <a:solidFill>
          <a:schemeClr val="phClr"/>
        </a:solidFill>
        <a:round/>
      </a:ln>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0"/>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75000"/>
          <a:lumOff val="25000"/>
        </a:sysClr>
      </a:solidFill>
      <a:ln w="9525" cap="flat" cmpd="sng" algn="ctr">
        <a:solidFill>
          <a:sysClr val="windowText" lastClr="000000">
            <a:lumMod val="65000"/>
            <a:lumOff val="35000"/>
          </a:sysClr>
        </a:solidFill>
        <a:round/>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 lastClr="FFFFFF">
            <a:lumMod val="902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50000"/>
            <a:lumOff val="50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75000"/>
        <a:lumOff val="25000"/>
      </a:sysClr>
    </cs:fontRef>
    <cs:defRPr sz="1400" b="1" kern="120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cap="flat" cmpd="sng" algn="ctr">
        <a:solidFill>
          <a:sysClr val="windowText" lastClr="000000">
            <a:lumMod val="65000"/>
            <a:lumOff val="35000"/>
          </a:sysClr>
        </a:solidFill>
        <a:round/>
      </a:ln>
    </cs:spPr>
  </cs:upBar>
  <cs:valueAxis>
    <cs:lnRef idx="0"/>
    <cs:fillRef idx="0"/>
    <cs:effectRef idx="0"/>
    <cs:fontRef idx="minor">
      <a:sysClr val="windowText" lastClr="000000">
        <a:lumMod val="65000"/>
        <a:lumOff val="35000"/>
      </a:sysClr>
    </cs:fontRef>
    <cs:defRPr sz="900" kern="1200"/>
  </cs:valueAxis>
  <cs:wall>
    <cs:lnRef idx="0"/>
    <cs:fillRef idx="0"/>
    <cs:effectRef idx="0"/>
    <cs:fontRef idx="minor">
      <a:sysClr val="windowText" lastClr="000000"/>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Override>
</file>

<file path=word/theme/themeOverride2.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64</Pages>
  <Words>22003</Words>
  <Characters>23267</Characters>
  <Lines>303</Lines>
  <Paragraphs>85</Paragraphs>
  <TotalTime>97</TotalTime>
  <ScaleCrop>false</ScaleCrop>
  <LinksUpToDate>false</LinksUpToDate>
  <CharactersWithSpaces>23554</CharactersWithSpaces>
  <Application>WPS Office_11.8.2.10290_F1E327BC-269C-435d-A152-05C5408002CA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2020-05-07T06:08:00Z</dcterms:created>
  <dc:creator>zjs</dc:creator>
  <cp:lastModifiedBy>user</cp:lastModifiedBy>
  <dcterms:modified xsi:type="dcterms:W3CDTF">2025-07-16T16:56:30Z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2052-11.8.2.10290</vt:lpwstr>
  </property>
  <property fmtid="{D5CDD505-2E9C-101B-9397-08002B2CF9AE}" pid="3" name="ICV">
    <vt:lpwstr>8ADE650EBAFD49D99430B86864177DC0_13</vt:lpwstr>
  </property>
  <property fmtid="{D5CDD505-2E9C-101B-9397-08002B2CF9AE}" pid="4" name="KSOTemplateDocerSaveRecord">
    <vt:lpwstr>eyJoZGlkIjoiMDljNTU2NWE3MmZmOTk4OGNkY2NmZGMxMjI0NGZlZTciLCJ1c2VySWQiOiIyNzk2ODI4NDMifQ==</vt:lpwstr>
  </property>
</Properties>
</file>