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黑体" w:cs="TimesNewRoman"/>
          <w:szCs w:val="32"/>
        </w:rPr>
      </w:pPr>
      <w:r>
        <w:rPr>
          <w:rFonts w:hint="eastAsia" w:ascii="仿宋" w:hAnsi="仿宋" w:eastAsia="黑体" w:cs="TimesNewRoman"/>
          <w:szCs w:val="32"/>
        </w:rPr>
        <w:t>附件1-1</w:t>
      </w: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spacing w:line="560" w:lineRule="exact"/>
        <w:jc w:val="center"/>
        <w:rPr>
          <w:rFonts w:ascii="仿宋" w:hAnsi="仿宋" w:eastAsia="华文中宋" w:cs="TimesNewRoman"/>
          <w:b/>
          <w:sz w:val="44"/>
          <w:szCs w:val="44"/>
        </w:rPr>
      </w:pPr>
      <w:r>
        <w:rPr>
          <w:rFonts w:hint="eastAsia" w:ascii="仿宋" w:hAnsi="仿宋" w:eastAsia="华文中宋" w:cs="TimesNewRoman"/>
          <w:b/>
          <w:sz w:val="44"/>
          <w:szCs w:val="44"/>
        </w:rPr>
        <w:t>淮北市司法局2024年</w:t>
      </w:r>
    </w:p>
    <w:p>
      <w:pPr>
        <w:spacing w:line="560" w:lineRule="exact"/>
        <w:jc w:val="center"/>
        <w:rPr>
          <w:rFonts w:ascii="仿宋" w:hAnsi="仿宋" w:eastAsia="华文中宋" w:cs="TimesNewRoman"/>
          <w:b/>
          <w:sz w:val="44"/>
          <w:szCs w:val="44"/>
        </w:rPr>
      </w:pPr>
      <w:r>
        <w:rPr>
          <w:rFonts w:hint="eastAsia" w:ascii="仿宋" w:hAnsi="仿宋" w:eastAsia="华文中宋" w:cs="TimesNewRoman"/>
          <w:b/>
          <w:sz w:val="44"/>
          <w:szCs w:val="44"/>
        </w:rPr>
        <w:t>部门预算</w:t>
      </w: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tabs>
          <w:tab w:val="left" w:pos="3371"/>
        </w:tabs>
        <w:rPr>
          <w:rFonts w:ascii="仿宋" w:hAnsi="仿宋"/>
        </w:rPr>
      </w:pPr>
      <w:r>
        <w:rPr>
          <w:rFonts w:hint="eastAsia" w:ascii="仿宋" w:hAnsi="仿宋"/>
        </w:rPr>
        <w:tab/>
      </w: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pStyle w:val="6"/>
        <w:adjustRightInd w:val="0"/>
        <w:snapToGrid w:val="0"/>
        <w:spacing w:line="560" w:lineRule="exact"/>
        <w:jc w:val="center"/>
        <w:rPr>
          <w:rFonts w:ascii="仿宋" w:hAnsi="仿宋" w:eastAsia="黑体" w:cs="TimesNewRoman"/>
          <w:bCs/>
          <w:sz w:val="44"/>
          <w:szCs w:val="44"/>
        </w:rPr>
      </w:pPr>
    </w:p>
    <w:p>
      <w:pPr>
        <w:pStyle w:val="6"/>
        <w:adjustRightInd w:val="0"/>
        <w:snapToGrid w:val="0"/>
        <w:spacing w:line="560" w:lineRule="exact"/>
        <w:jc w:val="center"/>
        <w:rPr>
          <w:rFonts w:ascii="仿宋" w:hAnsi="仿宋" w:eastAsia="黑体" w:cs="TimesNewRoman"/>
          <w:bCs/>
          <w:sz w:val="44"/>
          <w:szCs w:val="44"/>
        </w:rPr>
      </w:pPr>
      <w:r>
        <w:rPr>
          <w:rFonts w:hint="eastAsia" w:ascii="仿宋" w:hAnsi="仿宋" w:eastAsia="黑体" w:cs="TimesNewRoman"/>
          <w:bCs/>
          <w:sz w:val="44"/>
          <w:szCs w:val="44"/>
        </w:rPr>
        <w:t>2024年2月</w:t>
      </w:r>
    </w:p>
    <w:p>
      <w:pPr>
        <w:rPr>
          <w:rFonts w:ascii="仿宋" w:hAnsi="仿宋"/>
        </w:rPr>
      </w:pPr>
    </w:p>
    <w:p>
      <w:pPr>
        <w:rPr>
          <w:rFonts w:ascii="仿宋" w:hAnsi="仿宋"/>
        </w:rPr>
      </w:pPr>
    </w:p>
    <w:p>
      <w:pPr>
        <w:pStyle w:val="6"/>
        <w:adjustRightInd w:val="0"/>
        <w:snapToGrid w:val="0"/>
        <w:spacing w:line="560" w:lineRule="exact"/>
        <w:jc w:val="center"/>
        <w:rPr>
          <w:rFonts w:ascii="仿宋" w:hAnsi="仿宋" w:eastAsia="黑体" w:cs="TimesNewRoman"/>
          <w:bCs/>
          <w:sz w:val="44"/>
          <w:szCs w:val="44"/>
        </w:rPr>
      </w:pPr>
      <w:r>
        <w:rPr>
          <w:rFonts w:hint="eastAsia" w:ascii="仿宋" w:hAnsi="仿宋" w:eastAsia="黑体" w:cs="TimesNewRoman"/>
          <w:bCs/>
          <w:sz w:val="44"/>
          <w:szCs w:val="44"/>
        </w:rPr>
        <w:t>目  录</w:t>
      </w:r>
    </w:p>
    <w:p>
      <w:pPr>
        <w:rPr>
          <w:rFonts w:ascii="仿宋" w:hAnsi="仿宋"/>
        </w:rPr>
      </w:pPr>
    </w:p>
    <w:p>
      <w:pPr>
        <w:pStyle w:val="6"/>
        <w:adjustRightInd w:val="0"/>
        <w:snapToGrid w:val="0"/>
        <w:spacing w:line="40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第一部分 部门概况</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1、主要职责</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2、部门预算构成</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3 、2024年度主要工作任务</w:t>
      </w:r>
    </w:p>
    <w:p>
      <w:pPr>
        <w:pStyle w:val="6"/>
        <w:adjustRightInd w:val="0"/>
        <w:snapToGrid w:val="0"/>
        <w:spacing w:line="40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第二部分 2024年部门预算表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1、淮北市司法局2024年收支总表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2、淮北市司法局2024年收入总表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3、淮北市司法局2024年支出总表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4、淮北市司法局2024年财政拨款收支总表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5、淮北市司法局2024年一般公共预算支出表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6、淮北市司法局2024年一般公共预算基本支出表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7、淮北市司法局2024年政府性基金预算支出表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8、淮北市司法局2024年国有资本经营预算支出表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9、淮北市司法局2024年项目支出表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10、淮北市司法局2024年政府采购支出表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11、淮北市司法局2024年政府购买服务支出表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12、淮北市司法局</w:t>
      </w:r>
      <w:r>
        <w:rPr>
          <w:rFonts w:ascii="仿宋" w:hAnsi="仿宋" w:eastAsia="仿宋_GB2312" w:cs="TimesNewRoman"/>
          <w:bCs/>
          <w:sz w:val="32"/>
          <w:szCs w:val="32"/>
        </w:rPr>
        <w:t>2024年通用资产配置支出表</w:t>
      </w:r>
    </w:p>
    <w:p>
      <w:pPr>
        <w:pStyle w:val="6"/>
        <w:adjustRightInd w:val="0"/>
        <w:snapToGrid w:val="0"/>
        <w:spacing w:line="40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第三部分 2024年部门预算情况说明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1、关于2024年收支总表的说明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2、关于2024年收入总表的说明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3、关于2024年支出总表的说明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4、关于2024年财政拨款收支总表的说明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5、关于2024年一般公共预算支出表的说明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6、关于2024年一般公共预算基本支出表的说明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7、关于2024年政府性基金预算支出表的说明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8、关于2024年国有资本经营预算支出表的说明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9、关于2024年项目支出表的说明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10、关于2024年政府采购支出表的说明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11、关于2024年政府购买服务支出表的说明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12、其他重要事项情况说明</w:t>
      </w:r>
    </w:p>
    <w:p>
      <w:pPr>
        <w:pStyle w:val="6"/>
        <w:adjustRightInd w:val="0"/>
        <w:snapToGrid w:val="0"/>
        <w:spacing w:line="40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第四部分 名词解释</w:t>
      </w:r>
    </w:p>
    <w:p>
      <w:pPr>
        <w:pStyle w:val="6"/>
        <w:adjustRightInd w:val="0"/>
        <w:snapToGrid w:val="0"/>
        <w:spacing w:line="40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第五部分 其它公开事项</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1、淮北市司法局（部门）2024年部门预算纳入绩效考评项目表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2、淮北市司法局（部门）2024年部门预算专项资金管理清单（专栏公开）</w:t>
      </w:r>
    </w:p>
    <w:p>
      <w:pPr>
        <w:pStyle w:val="6"/>
        <w:adjustRightInd w:val="0"/>
        <w:snapToGrid w:val="0"/>
        <w:spacing w:line="400" w:lineRule="exact"/>
        <w:ind w:firstLine="800" w:firstLineChars="250"/>
        <w:rPr>
          <w:rFonts w:ascii="仿宋" w:hAnsi="仿宋" w:eastAsia="仿宋_GB2312" w:cs="TimesNewRoman"/>
          <w:bCs/>
          <w:sz w:val="32"/>
          <w:szCs w:val="32"/>
        </w:rPr>
      </w:pPr>
    </w:p>
    <w:p>
      <w:pPr>
        <w:pStyle w:val="6"/>
        <w:adjustRightInd w:val="0"/>
        <w:snapToGrid w:val="0"/>
        <w:spacing w:line="560" w:lineRule="exact"/>
        <w:jc w:val="center"/>
        <w:rPr>
          <w:rFonts w:hint="eastAsia" w:ascii="仿宋" w:hAnsi="仿宋" w:eastAsia="黑体" w:cs="TimesNewRoman"/>
          <w:bCs/>
          <w:sz w:val="36"/>
          <w:szCs w:val="36"/>
        </w:rPr>
      </w:pPr>
    </w:p>
    <w:p>
      <w:pPr>
        <w:pStyle w:val="6"/>
        <w:adjustRightInd w:val="0"/>
        <w:snapToGrid w:val="0"/>
        <w:spacing w:line="560" w:lineRule="exact"/>
        <w:jc w:val="center"/>
        <w:rPr>
          <w:rFonts w:hint="eastAsia" w:ascii="仿宋" w:hAnsi="仿宋" w:eastAsia="黑体" w:cs="TimesNewRoman"/>
          <w:bCs/>
          <w:sz w:val="36"/>
          <w:szCs w:val="36"/>
        </w:rPr>
      </w:pPr>
    </w:p>
    <w:p>
      <w:pPr>
        <w:pStyle w:val="6"/>
        <w:adjustRightInd w:val="0"/>
        <w:snapToGrid w:val="0"/>
        <w:spacing w:line="560" w:lineRule="exact"/>
        <w:jc w:val="center"/>
        <w:rPr>
          <w:rFonts w:hint="eastAsia" w:ascii="仿宋" w:hAnsi="仿宋" w:eastAsia="黑体" w:cs="TimesNewRoman"/>
          <w:bCs/>
          <w:sz w:val="36"/>
          <w:szCs w:val="36"/>
        </w:rPr>
      </w:pPr>
    </w:p>
    <w:p>
      <w:pPr>
        <w:pStyle w:val="6"/>
        <w:adjustRightInd w:val="0"/>
        <w:snapToGrid w:val="0"/>
        <w:spacing w:line="560" w:lineRule="exact"/>
        <w:jc w:val="center"/>
        <w:rPr>
          <w:rFonts w:ascii="仿宋" w:hAnsi="仿宋" w:eastAsia="黑体" w:cs="TimesNewRoman"/>
          <w:bCs/>
          <w:sz w:val="36"/>
          <w:szCs w:val="36"/>
        </w:rPr>
      </w:pPr>
      <w:r>
        <w:rPr>
          <w:rFonts w:hint="eastAsia" w:ascii="仿宋" w:hAnsi="仿宋" w:eastAsia="黑体" w:cs="TimesNewRoman"/>
          <w:bCs/>
          <w:sz w:val="36"/>
          <w:szCs w:val="36"/>
        </w:rPr>
        <w:t>第一部分 部门概况</w:t>
      </w:r>
    </w:p>
    <w:p>
      <w:pPr>
        <w:rPr>
          <w:rFonts w:ascii="仿宋" w:hAnsi="仿宋"/>
        </w:rPr>
      </w:pP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一、主要职责</w:t>
      </w:r>
    </w:p>
    <w:p>
      <w:pPr>
        <w:spacing w:line="560" w:lineRule="exact"/>
        <w:ind w:firstLine="660"/>
        <w:rPr>
          <w:rFonts w:ascii="仿宋" w:hAnsi="仿宋" w:eastAsia="仿宋_GB2312"/>
          <w:sz w:val="32"/>
          <w:szCs w:val="32"/>
        </w:rPr>
      </w:pPr>
      <w:r>
        <w:rPr>
          <w:rFonts w:hint="eastAsia" w:ascii="仿宋" w:hAnsi="仿宋" w:eastAsia="仿宋_GB2312"/>
          <w:sz w:val="32"/>
          <w:szCs w:val="32"/>
        </w:rPr>
        <w:t>根据办</w:t>
      </w:r>
      <w:r>
        <w:rPr>
          <w:rFonts w:hint="eastAsia" w:ascii="仿宋" w:hAnsi="仿宋" w:eastAsia="仿宋_GB2312" w:cs="仿宋_GB2312"/>
          <w:sz w:val="32"/>
          <w:szCs w:val="32"/>
        </w:rPr>
        <w:t>〔</w:t>
      </w:r>
      <w:r>
        <w:rPr>
          <w:rFonts w:hint="eastAsia" w:ascii="仿宋" w:hAnsi="仿宋" w:eastAsia="仿宋_GB2312"/>
          <w:sz w:val="32"/>
          <w:szCs w:val="32"/>
        </w:rPr>
        <w:t>2019</w:t>
      </w:r>
      <w:r>
        <w:rPr>
          <w:rFonts w:hint="eastAsia" w:ascii="仿宋" w:hAnsi="仿宋" w:eastAsia="仿宋_GB2312" w:cs="仿宋_GB2312"/>
          <w:sz w:val="32"/>
          <w:szCs w:val="32"/>
        </w:rPr>
        <w:t>〕</w:t>
      </w:r>
      <w:r>
        <w:rPr>
          <w:rFonts w:hint="eastAsia" w:ascii="仿宋" w:hAnsi="仿宋" w:eastAsia="仿宋_GB2312"/>
          <w:sz w:val="32"/>
          <w:szCs w:val="32"/>
        </w:rPr>
        <w:t>17号文件规定，淮北市司法局局主要职责是：</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（一）承担全面依法治市重大问题的政策研究，协调有关方面提出全面依法治市中长期规划建议，负责有关工作部署督察。</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二）承担统筹规划立法工作的责任。协调有关方面提出立法规划和年度立法工作计划的建议，负责跟踪了解各部门对立法工作计划的落实情况，加强组织协调和督促指导，研究提出立法与改革相衔接的意见、措施。负责面向社会征集立法项目建议。</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（三）负责起草或者组织起草有关地方性法规、市政府规章草案。承办各部门报送市政府的地方性法规、市政府规章草案，以及需要由市政府批准的重要规范性文件草案的审查工作。负责立法协调。</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四）承办市政府规章的解释、评估工作。负责协调各单位各部门实施地方性法规、市政府规章中的有关争议和问题。承办市政府规章清理、编纂工作。承担市政府重大决定事项合法性审查工作。负责市政府部门规范性文件的备案审查工作。组织开展规章、规范性文件清理工作。</w:t>
      </w:r>
    </w:p>
    <w:p>
      <w:pPr>
        <w:spacing w:line="560" w:lineRule="exact"/>
        <w:ind w:firstLine="660"/>
        <w:rPr>
          <w:rFonts w:ascii="仿宋" w:hAnsi="仿宋" w:eastAsia="仿宋_GB2312"/>
          <w:sz w:val="32"/>
          <w:szCs w:val="32"/>
        </w:rPr>
      </w:pPr>
      <w:r>
        <w:rPr>
          <w:rFonts w:hint="eastAsia" w:ascii="仿宋" w:hAnsi="仿宋" w:eastAsia="仿宋_GB2312"/>
          <w:sz w:val="32"/>
          <w:szCs w:val="32"/>
        </w:rPr>
        <w:t>（五）承担统筹推进法治政府建设的责任。指导、监督市政府各部门及县区政府依法行政工作。负责综合协调行政执法，承担推进行政执法体制改革有关工作，开展全市行政执法监督工作，推进严格规范公正文明执法。承办申请市政府裁决的行政复议案件工作和市政府行政应诉事项。指导、监督全市行政复议和行政应诉工作，负责行政复议和应诉案件办理工作。</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六）承担统筹规划法治社会建设的责任。负责拟订法治宣传教育规划，组织实施普法宣传工作，组织对外法治宣传。推动人民参与和促进法治建设。指导依法治理和法治创建工作。指导、监督全市基层司法所建设、人民调解、社区矫正、基层法律服务和帮教安置工作。</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七）负责拟订全市公共法律服务体系建设规划并指导实施，统筹和布局城乡、区域法律服务资源。负责管理指导监督全市律师、法律援助、司法鉴定、公证、仲裁和基层法律服务工作并承担相应责任，指导监督全市政府、企事业单位法律顾问工作，负责报批涉外及涉香港特别行政区、澳门特别行政区及台湾地区的有关公证事务。</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（八）负责全市国家统一法律职业资格考试的组织实施工作。负责全市国家统一法律职业资格相关工作。负责规划和指导法律职业人员入职前培训工作。</w:t>
      </w:r>
    </w:p>
    <w:p>
      <w:pPr>
        <w:spacing w:line="560" w:lineRule="exact"/>
        <w:ind w:firstLine="660"/>
        <w:rPr>
          <w:rFonts w:ascii="仿宋" w:hAnsi="仿宋" w:eastAsia="仿宋_GB2312"/>
          <w:sz w:val="32"/>
          <w:szCs w:val="32"/>
        </w:rPr>
      </w:pPr>
      <w:r>
        <w:rPr>
          <w:rFonts w:hint="eastAsia" w:ascii="仿宋" w:hAnsi="仿宋" w:eastAsia="仿宋_GB2312"/>
          <w:sz w:val="32"/>
          <w:szCs w:val="32"/>
        </w:rPr>
        <w:t>（九）规划、协调、指导全市法治人才队伍建设相关工作，指导、监督本系统队伍建设。负责公证、律师系列的职称评审工作。协助县区管理司法局领导干部。</w:t>
      </w:r>
    </w:p>
    <w:p>
      <w:pPr>
        <w:pStyle w:val="6"/>
        <w:adjustRightInd w:val="0"/>
        <w:snapToGrid w:val="0"/>
        <w:spacing w:line="560" w:lineRule="exact"/>
        <w:ind w:firstLine="627" w:firstLineChars="196"/>
        <w:rPr>
          <w:rFonts w:ascii="仿宋" w:hAnsi="仿宋" w:eastAsia="仿宋_GB2312"/>
          <w:sz w:val="32"/>
          <w:szCs w:val="32"/>
        </w:rPr>
      </w:pPr>
      <w:r>
        <w:rPr>
          <w:rFonts w:hint="eastAsia" w:ascii="仿宋" w:hAnsi="仿宋" w:eastAsia="仿宋_GB2312"/>
          <w:sz w:val="32"/>
          <w:szCs w:val="32"/>
        </w:rPr>
        <w:t>（十）完成市委、市政府交办的其他任务。</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二、部门预算构成</w:t>
      </w:r>
    </w:p>
    <w:p>
      <w:pPr>
        <w:pStyle w:val="6"/>
        <w:adjustRightInd w:val="0"/>
        <w:snapToGrid w:val="0"/>
        <w:spacing w:before="0" w:beforeAutospacing="0" w:after="0" w:afterAutospacing="0" w:line="360" w:lineRule="auto"/>
        <w:ind w:firstLine="627" w:firstLineChars="196"/>
        <w:jc w:val="both"/>
        <w:rPr>
          <w:rFonts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rPr>
        <w:t>淮北市司法局</w:t>
      </w:r>
      <w:r>
        <w:rPr>
          <w:rFonts w:hint="eastAsia" w:ascii="仿宋_GB2312" w:hAnsi="仿宋" w:eastAsia="仿宋_GB2312"/>
          <w:sz w:val="32"/>
          <w:szCs w:val="32"/>
        </w:rPr>
        <w:t>2024年度部门预算包括局本级预算和局下属单位预算，纳入部门预算编制范围的单位共2个，具体情况见下表。</w:t>
      </w:r>
    </w:p>
    <w:tbl>
      <w:tblPr>
        <w:tblStyle w:val="8"/>
        <w:tblW w:w="0" w:type="auto"/>
        <w:tblInd w:w="288" w:type="dxa"/>
        <w:shd w:val="clear" w:color="auto" w:fill="FFFFFF"/>
        <w:tblLayout w:type="fixed"/>
        <w:tblCellMar>
          <w:top w:w="0" w:type="dxa"/>
          <w:left w:w="0" w:type="dxa"/>
          <w:bottom w:w="0" w:type="dxa"/>
          <w:right w:w="0" w:type="dxa"/>
        </w:tblCellMar>
      </w:tblPr>
      <w:tblGrid>
        <w:gridCol w:w="900"/>
        <w:gridCol w:w="3600"/>
        <w:gridCol w:w="4500"/>
      </w:tblGrid>
      <w:tr>
        <w:tblPrEx>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单位名称</w:t>
            </w:r>
          </w:p>
        </w:tc>
        <w:tc>
          <w:tcPr>
            <w:tcW w:w="4500" w:type="dxa"/>
            <w:tcBorders>
              <w:top w:val="single" w:color="auto" w:sz="8" w:space="0"/>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单位性质</w:t>
            </w:r>
          </w:p>
        </w:tc>
      </w:tr>
      <w:tr>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r>
              <w:rPr>
                <w:rFonts w:hint="eastAsia" w:ascii="仿宋_GB2312" w:hAnsi="宋体" w:eastAsia="仿宋_GB2312"/>
                <w:sz w:val="24"/>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hAnsi="宋体" w:eastAsia="仿宋_GB2312"/>
                <w:sz w:val="24"/>
                <w:u w:val="single"/>
              </w:rPr>
            </w:pPr>
            <w:r>
              <w:rPr>
                <w:rFonts w:hint="eastAsia" w:ascii="仿宋_GB2312" w:hAnsi="仿宋" w:eastAsia="仿宋_GB2312" w:cs="仿宋"/>
                <w:bCs/>
                <w:sz w:val="24"/>
              </w:rPr>
              <w:t>淮北市司法局本级</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u w:val="single"/>
              </w:rPr>
            </w:pPr>
            <w:r>
              <w:rPr>
                <w:rFonts w:hint="eastAsia" w:ascii="仿宋_GB2312" w:hAnsi="仿宋" w:eastAsia="仿宋_GB2312" w:cs="仿宋"/>
                <w:bCs/>
                <w:sz w:val="24"/>
              </w:rPr>
              <w:t>行政单位</w:t>
            </w:r>
          </w:p>
        </w:tc>
      </w:tr>
      <w:tr>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r>
              <w:rPr>
                <w:rFonts w:hint="eastAsia" w:ascii="仿宋_GB2312" w:hAnsi="宋体" w:eastAsia="仿宋_GB2312"/>
                <w:sz w:val="24"/>
              </w:rPr>
              <w:t>2</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仿宋_GB2312" w:hAnsi="宋体" w:eastAsia="仿宋_GB2312" w:cs="宋体"/>
                <w:sz w:val="24"/>
              </w:rPr>
            </w:pPr>
            <w:r>
              <w:rPr>
                <w:rFonts w:hint="eastAsia" w:ascii="仿宋_GB2312" w:eastAsia="仿宋_GB2312"/>
                <w:sz w:val="24"/>
              </w:rPr>
              <w:t>淮北仲裁委秘书处</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u w:val="single"/>
              </w:rPr>
            </w:pPr>
            <w:r>
              <w:rPr>
                <w:rFonts w:hint="eastAsia" w:ascii="仿宋_GB2312" w:hAnsi="仿宋" w:eastAsia="仿宋_GB2312" w:cs="仿宋"/>
                <w:bCs/>
                <w:sz w:val="24"/>
              </w:rPr>
              <w:t>公益二类事业单位</w:t>
            </w:r>
          </w:p>
        </w:tc>
      </w:tr>
    </w:tbl>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三、2024年度主要工作任务</w:t>
      </w:r>
    </w:p>
    <w:p>
      <w:pPr>
        <w:numPr>
          <w:ilvl w:val="0"/>
          <w:numId w:val="1"/>
        </w:numPr>
        <w:spacing w:line="560" w:lineRule="exact"/>
        <w:ind w:firstLine="642" w:firstLineChars="200"/>
        <w:jc w:val="left"/>
        <w:textAlignment w:val="baseline"/>
        <w:rPr>
          <w:rFonts w:ascii="仿宋" w:hAnsi="仿宋" w:eastAsia="楷体_GB2312" w:cs="楷体_GB2312"/>
          <w:b/>
          <w:bCs/>
          <w:sz w:val="32"/>
          <w:szCs w:val="32"/>
        </w:rPr>
      </w:pPr>
      <w:r>
        <w:rPr>
          <w:rFonts w:hint="eastAsia" w:ascii="仿宋" w:hAnsi="仿宋" w:eastAsia="楷体_GB2312" w:cs="楷体_GB2312"/>
          <w:b/>
          <w:bCs/>
          <w:sz w:val="32"/>
          <w:szCs w:val="32"/>
        </w:rPr>
        <w:t>持续推进思想和政治建设</w:t>
      </w:r>
    </w:p>
    <w:p>
      <w:pPr>
        <w:spacing w:line="560" w:lineRule="exact"/>
        <w:ind w:firstLine="640" w:firstLineChars="200"/>
        <w:rPr>
          <w:rFonts w:ascii="仿宋" w:hAnsi="仿宋"/>
        </w:rPr>
      </w:pPr>
      <w:r>
        <w:rPr>
          <w:rFonts w:hint="eastAsia" w:ascii="仿宋" w:hAnsi="仿宋" w:eastAsia="仿宋_GB2312" w:cs="仿宋_GB2312"/>
          <w:sz w:val="32"/>
          <w:szCs w:val="32"/>
        </w:rPr>
        <w:t>深入学习贯彻习近平新时代中国特色社会主义思想和党的十九届六中全会精神，不断增强“四个意识”，坚定“四个自信”，做到“两个维护”。</w:t>
      </w:r>
      <w:r>
        <w:rPr>
          <w:rFonts w:hint="eastAsia" w:ascii="仿宋" w:hAnsi="仿宋" w:eastAsia="仿宋_GB2312" w:cs="楷体_GB2312"/>
          <w:bCs/>
          <w:sz w:val="32"/>
          <w:szCs w:val="32"/>
        </w:rPr>
        <w:t>坚持党建引领，加强局机关党委、律师行业党委建设，</w:t>
      </w:r>
      <w:r>
        <w:rPr>
          <w:rFonts w:hint="eastAsia" w:ascii="仿宋" w:hAnsi="仿宋" w:eastAsia="仿宋_GB2312" w:cs="仿宋_GB2312"/>
          <w:sz w:val="32"/>
          <w:szCs w:val="32"/>
        </w:rPr>
        <w:t>夯实局党组党建主体责任，督促指导各党支部履行抓党建工作具体责任，围绕服务中心、建设队伍开展工作，充分发挥支部战斗堡垒作用，</w:t>
      </w:r>
      <w:r>
        <w:rPr>
          <w:rFonts w:hint="eastAsia" w:ascii="仿宋" w:hAnsi="仿宋" w:eastAsia="仿宋"/>
          <w:sz w:val="32"/>
          <w:szCs w:val="32"/>
        </w:rPr>
        <w:t>全面落实“司法工作讲政治、业务工作讲党建”要求</w:t>
      </w:r>
      <w:r>
        <w:rPr>
          <w:rFonts w:hint="eastAsia" w:ascii="仿宋" w:hAnsi="仿宋" w:eastAsia="仿宋_GB2312" w:cs="仿宋_GB2312"/>
          <w:sz w:val="32"/>
          <w:szCs w:val="32"/>
        </w:rPr>
        <w:t>。严肃党内政治生活，认真落实“三会一课”、民主生活会、组织生活会、民主评议党员等制度。持续推进主题党日活动，坚持党组书记、局领导班子成员、支部书记上党课的制度。继续巩固政法队伍教育整顿和党史学习教育成果，不断加强党员教育监督管理，强化政治理论教育，切实铸牢政治忠诚，始终在思想上政治上行动上同以习近平同志为核心的党中央保持高度一致。</w:t>
      </w:r>
    </w:p>
    <w:p>
      <w:pPr>
        <w:spacing w:line="560" w:lineRule="exact"/>
        <w:ind w:firstLine="642" w:firstLineChars="200"/>
        <w:jc w:val="left"/>
        <w:textAlignment w:val="baseline"/>
        <w:rPr>
          <w:rFonts w:ascii="仿宋" w:hAnsi="仿宋" w:eastAsia="楷体_GB2312" w:cs="楷体_GB2312"/>
          <w:b/>
          <w:bCs/>
          <w:sz w:val="32"/>
          <w:szCs w:val="32"/>
        </w:rPr>
      </w:pPr>
      <w:r>
        <w:rPr>
          <w:rFonts w:hint="eastAsia" w:ascii="仿宋" w:hAnsi="仿宋" w:eastAsia="楷体_GB2312" w:cs="楷体_GB2312"/>
          <w:b/>
          <w:bCs/>
          <w:sz w:val="32"/>
          <w:szCs w:val="32"/>
        </w:rPr>
        <w:t>（二）持续推进法治政府建设</w:t>
      </w:r>
    </w:p>
    <w:p>
      <w:pPr>
        <w:spacing w:line="560" w:lineRule="exact"/>
        <w:ind w:firstLine="640" w:firstLineChars="200"/>
        <w:rPr>
          <w:rFonts w:ascii="仿宋" w:hAnsi="仿宋" w:eastAsia="仿宋_GB2312" w:cs="仿宋_GB2312"/>
          <w:sz w:val="32"/>
          <w:szCs w:val="32"/>
        </w:rPr>
      </w:pPr>
      <w:r>
        <w:rPr>
          <w:rFonts w:hint="eastAsia" w:ascii="仿宋" w:hAnsi="仿宋" w:eastAsia="仿宋_GB2312" w:cs="仿宋_GB2312"/>
          <w:sz w:val="32"/>
          <w:szCs w:val="32"/>
        </w:rPr>
        <w:t>常态化开展法治政府建设综合性和专项督察活动，紧盯工作重点、难点，全面推进各县区各单位法治政府建设任务，确保各项工作有序推进，提升法治政府建设水平。把法治政府示范创建纳入常态化工作重点，不断把法治政府向纵深推进。按照年度重点任务分工，推动依法行政各项工作任务落地生效。完善行政立法机制，科学、民主立法，提高立法质量和水平。全面推行行政执法“三项制度”，开展执法案卷评查，加强行政执法监督力度；学习贯彻宣传《安徽省行政执法证据收集与运用指引（试行）》，结合本市实际，制发具体实施方案；深化市场监管等领域综合行政执法改革，在公共资源交易等领域继续探索实行跨领域跨部门综合执法；在重点执法领域推行轻微违法免罚制度，进一步惠民惠企；积极推广“互联网+执法”，利用大数据开展部门联动信息化执法。持续优化合法性审核流程，完善与政府办公室、送审单位之间的沟通、协调机制，理顺启动审核、公文报送和运转、征求意见、审核建议、意见反馈和工作时限等审核流程，充分发挥市政府法律顾问等“外脑”作用，提高合法性审核质量。继续做好行政复议体制改革工作，适时筹备召开淮北市行政复议体制改革工作领导小组第一次会议，讨论修改《淮北市行政复议体制改革工作方案（征求意见稿）》等，同时做好行政机关负责人出庭应诉推进工作，保持出庭率100%。</w:t>
      </w:r>
    </w:p>
    <w:p>
      <w:pPr>
        <w:pStyle w:val="4"/>
        <w:spacing w:line="560" w:lineRule="exact"/>
        <w:ind w:firstLine="642" w:firstLineChars="200"/>
        <w:textAlignment w:val="baseline"/>
        <w:rPr>
          <w:rFonts w:ascii="仿宋" w:hAnsi="仿宋" w:eastAsia="楷体_GB2312" w:cs="楷体_GB2312"/>
          <w:b/>
          <w:bCs/>
          <w:sz w:val="32"/>
          <w:szCs w:val="32"/>
        </w:rPr>
      </w:pPr>
      <w:r>
        <w:rPr>
          <w:rFonts w:hint="eastAsia" w:ascii="仿宋" w:hAnsi="仿宋" w:eastAsia="楷体_GB2312" w:cs="楷体_GB2312"/>
          <w:b/>
          <w:bCs/>
          <w:sz w:val="32"/>
          <w:szCs w:val="32"/>
        </w:rPr>
        <w:t>（三）持续推进法律服务优化</w:t>
      </w:r>
    </w:p>
    <w:p>
      <w:pPr>
        <w:pStyle w:val="4"/>
        <w:spacing w:line="560" w:lineRule="exact"/>
        <w:ind w:firstLine="640" w:firstLineChars="200"/>
        <w:textAlignment w:val="baseline"/>
        <w:rPr>
          <w:rFonts w:ascii="仿宋" w:hAnsi="仿宋" w:eastAsia="仿宋_GB2312" w:cs="Times New Roman"/>
          <w:bCs/>
          <w:kern w:val="0"/>
          <w:sz w:val="32"/>
          <w:szCs w:val="32"/>
        </w:rPr>
      </w:pPr>
      <w:r>
        <w:rPr>
          <w:rFonts w:hint="eastAsia" w:ascii="仿宋" w:hAnsi="仿宋" w:eastAsia="仿宋_GB2312" w:cs="Times New Roman"/>
          <w:sz w:val="32"/>
          <w:szCs w:val="32"/>
        </w:rPr>
        <w:t>推进</w:t>
      </w:r>
      <w:r>
        <w:rPr>
          <w:rFonts w:ascii="仿宋" w:hAnsi="仿宋" w:eastAsia="仿宋_GB2312" w:cs="Times New Roman"/>
          <w:sz w:val="32"/>
          <w:szCs w:val="32"/>
        </w:rPr>
        <w:t>公共</w:t>
      </w:r>
      <w:r>
        <w:rPr>
          <w:rFonts w:ascii="仿宋" w:hAnsi="仿宋" w:eastAsia="仿宋_GB2312" w:cs="Times New Roman"/>
          <w:bCs/>
          <w:kern w:val="0"/>
          <w:sz w:val="32"/>
          <w:szCs w:val="32"/>
        </w:rPr>
        <w:t>法律服务标准体系</w:t>
      </w:r>
      <w:r>
        <w:rPr>
          <w:rFonts w:hint="eastAsia" w:ascii="仿宋" w:hAnsi="仿宋" w:eastAsia="仿宋_GB2312" w:cs="Times New Roman"/>
          <w:bCs/>
          <w:kern w:val="0"/>
          <w:sz w:val="32"/>
          <w:szCs w:val="32"/>
        </w:rPr>
        <w:t>建设</w:t>
      </w:r>
      <w:r>
        <w:rPr>
          <w:rFonts w:ascii="仿宋" w:hAnsi="仿宋" w:eastAsia="仿宋_GB2312" w:cs="Times New Roman"/>
          <w:bCs/>
          <w:kern w:val="0"/>
          <w:sz w:val="32"/>
          <w:szCs w:val="32"/>
        </w:rPr>
        <w:t>，</w:t>
      </w:r>
      <w:r>
        <w:rPr>
          <w:rFonts w:hint="eastAsia" w:ascii="仿宋" w:hAnsi="仿宋" w:eastAsia="仿宋_GB2312" w:cs="Times New Roman"/>
          <w:bCs/>
          <w:kern w:val="0"/>
          <w:sz w:val="32"/>
          <w:szCs w:val="32"/>
        </w:rPr>
        <w:t>打造市公共法律服务中心，推进各项法律服务进驻公共法律服务平台，完成公共法律服务体系建设中期考核。以“乡村振兴 法治同行”活动为重要抓手，大力推进乡村公共法律服务体系建设，促进城乡公共法律服务资源更加平衡。继续坚持高起点谋划、高标准推进、高质量落实2024年度法律职业资格考试工作。切实推进我市两家公证机构和两家司法鉴定机构的业务建设，规范公证、司法鉴定业务受理全过程和各流程，落实质量管控措施，扎实推进公证和司法鉴定行业人才队伍建设。坚持“人为本、和为贵”的仲裁理念，不断加大仲裁案件调处力度，推行立案“一次性告知”制度，推进“互联网+仲裁”，实现庭审“不见面”、交流“面对面”的零距离审理。加强法律援助品牌建设，全面推进刑事法律援助工作，不断提高法律援助服务质量。大力</w:t>
      </w:r>
      <w:r>
        <w:rPr>
          <w:rFonts w:hint="eastAsia" w:ascii="仿宋" w:hAnsi="仿宋" w:eastAsia="仿宋_GB2312" w:cs="仿宋_GB2312"/>
          <w:sz w:val="32"/>
          <w:szCs w:val="32"/>
        </w:rPr>
        <w:t>推进“互联网+”公共法律服务，为人民群众提供及时、精准、普惠的公共法律服务。</w:t>
      </w:r>
    </w:p>
    <w:p>
      <w:pPr>
        <w:pStyle w:val="4"/>
        <w:spacing w:line="560" w:lineRule="exact"/>
        <w:ind w:firstLine="642" w:firstLineChars="200"/>
        <w:textAlignment w:val="baseline"/>
        <w:rPr>
          <w:rFonts w:ascii="仿宋" w:hAnsi="仿宋" w:eastAsia="楷体_GB2312" w:cs="楷体_GB2312"/>
          <w:b/>
          <w:bCs/>
          <w:sz w:val="32"/>
          <w:szCs w:val="32"/>
        </w:rPr>
      </w:pPr>
      <w:r>
        <w:rPr>
          <w:rFonts w:hint="eastAsia" w:ascii="仿宋" w:hAnsi="仿宋" w:eastAsia="楷体_GB2312" w:cs="楷体_GB2312"/>
          <w:b/>
          <w:bCs/>
          <w:sz w:val="32"/>
          <w:szCs w:val="32"/>
        </w:rPr>
        <w:t>（四）持续推进矛盾纠纷多元化解</w:t>
      </w:r>
    </w:p>
    <w:p>
      <w:pPr>
        <w:spacing w:line="560" w:lineRule="exact"/>
        <w:ind w:firstLine="640" w:firstLineChars="200"/>
        <w:textAlignment w:val="baseline"/>
        <w:rPr>
          <w:rFonts w:ascii="仿宋" w:hAnsi="仿宋" w:eastAsia="仿宋_GB2312" w:cs="仿宋_GB2312"/>
          <w:b/>
          <w:bCs/>
          <w:color w:val="000000"/>
          <w:sz w:val="32"/>
          <w:szCs w:val="32"/>
        </w:rPr>
      </w:pPr>
      <w:r>
        <w:rPr>
          <w:rFonts w:hint="eastAsia" w:ascii="仿宋" w:hAnsi="仿宋" w:eastAsia="仿宋_GB2312" w:cs="仿宋_GB2312"/>
          <w:kern w:val="0"/>
          <w:sz w:val="32"/>
          <w:szCs w:val="32"/>
          <w:lang w:val="zh-CN"/>
        </w:rPr>
        <w:t>开展《关于加强新时代人民调解工作的实施意见》“回头看”活动，进一步巩固完善村（居）人民调解组织、规范强化镇（街道）人民调解组织、升级专业性行业性调委会建设。推进市县（区）调解中心和个人品牌工作室建设，推动商圈、市场、园区等不同领域、区域建立调解组织建设。联合上海政法学院举办“第十届调解理论与实务研讨会”。开展临涣茶馆成立十周年纪念活动，举办“一杯茶调解法”研讨会，将临涣茶馆人民调解委员会挂牌为高校学习教育实践基地，</w:t>
      </w:r>
      <w:r>
        <w:rPr>
          <w:rFonts w:hint="eastAsia" w:ascii="仿宋" w:hAnsi="仿宋" w:eastAsia="仿宋_GB2312" w:cs="仿宋_GB2312"/>
          <w:sz w:val="32"/>
          <w:szCs w:val="32"/>
        </w:rPr>
        <w:t>复制推广“茶馆调解”经验，积极探索矛盾纠纷“淮北解法”。</w:t>
      </w:r>
      <w:r>
        <w:rPr>
          <w:rFonts w:hint="eastAsia" w:ascii="仿宋" w:hAnsi="仿宋" w:eastAsia="仿宋_GB2312" w:cs="仿宋_GB2312"/>
          <w:kern w:val="0"/>
          <w:sz w:val="32"/>
          <w:szCs w:val="32"/>
          <w:lang w:val="zh-CN"/>
        </w:rPr>
        <w:t>持续开展人民调解日、专项工程调解室、调解夜话活动。推进“百姓说事点”实体“点”与线上“网”建设，扩大百姓说事点覆盖范围，优化信息员选任。</w:t>
      </w:r>
      <w:r>
        <w:rPr>
          <w:rFonts w:hint="eastAsia" w:ascii="仿宋" w:hAnsi="仿宋" w:eastAsia="仿宋_GB2312" w:cs="仿宋_GB2312"/>
          <w:sz w:val="32"/>
          <w:szCs w:val="32"/>
        </w:rPr>
        <w:t>推动县（区）、镇（街）建立人民调解工作领导小组，健全“三调”联动机制，严格落实人民调解考核评价机制。探索构建矛盾纠纷全周期管理模式,</w:t>
      </w:r>
      <w:r>
        <w:rPr>
          <w:rFonts w:hint="eastAsia" w:ascii="仿宋" w:hAnsi="仿宋" w:eastAsia="仿宋_GB2312" w:cs="仿宋_GB2312"/>
          <w:kern w:val="0"/>
          <w:sz w:val="32"/>
          <w:szCs w:val="32"/>
          <w:lang w:val="zh-CN"/>
        </w:rPr>
        <w:t>参与矛盾纠纷多元化解工作，推进构建大调解格局。深化诉调对接工作，贯彻落实《关于加强诉调对接工作的若干规定》，全面规范案件委派、委托调解工作机制。</w:t>
      </w:r>
    </w:p>
    <w:p>
      <w:pPr>
        <w:pStyle w:val="4"/>
        <w:spacing w:line="560" w:lineRule="exact"/>
        <w:ind w:firstLine="642" w:firstLineChars="200"/>
        <w:textAlignment w:val="baseline"/>
        <w:rPr>
          <w:rFonts w:ascii="仿宋" w:hAnsi="仿宋" w:eastAsia="楷体_GB2312" w:cs="楷体_GB2312"/>
          <w:b/>
          <w:bCs/>
          <w:sz w:val="32"/>
          <w:szCs w:val="32"/>
        </w:rPr>
      </w:pPr>
      <w:r>
        <w:rPr>
          <w:rFonts w:hint="eastAsia" w:ascii="仿宋" w:hAnsi="仿宋" w:eastAsia="楷体_GB2312" w:cs="楷体_GB2312"/>
          <w:b/>
          <w:bCs/>
          <w:sz w:val="32"/>
          <w:szCs w:val="32"/>
        </w:rPr>
        <w:t>（五）持续推进社区矫正和安置帮教工作</w:t>
      </w:r>
    </w:p>
    <w:p>
      <w:pPr>
        <w:spacing w:line="560" w:lineRule="exact"/>
        <w:ind w:firstLine="640" w:firstLineChars="200"/>
        <w:rPr>
          <w:rFonts w:ascii="仿宋" w:hAnsi="仿宋" w:eastAsia="仿宋" w:cs="仿宋"/>
          <w:sz w:val="32"/>
          <w:szCs w:val="32"/>
        </w:rPr>
      </w:pPr>
      <w:r>
        <w:rPr>
          <w:rFonts w:ascii="仿宋" w:hAnsi="仿宋" w:eastAsia="仿宋_GB2312" w:cs="仿宋_GB2312"/>
          <w:sz w:val="32"/>
          <w:szCs w:val="32"/>
        </w:rPr>
        <w:t>优化社区矫正队伍结构，将具备法学等专业知识的人员优先选配至社区矫正岗位</w:t>
      </w:r>
      <w:r>
        <w:rPr>
          <w:rFonts w:hint="eastAsia" w:ascii="仿宋" w:hAnsi="仿宋" w:eastAsia="仿宋_GB2312" w:cs="仿宋_GB2312"/>
          <w:sz w:val="32"/>
          <w:szCs w:val="32"/>
        </w:rPr>
        <w:t>，</w:t>
      </w:r>
      <w:r>
        <w:rPr>
          <w:rFonts w:hint="eastAsia" w:ascii="仿宋" w:hAnsi="仿宋" w:eastAsia="仿宋" w:cs="仿宋"/>
          <w:sz w:val="32"/>
          <w:szCs w:val="32"/>
        </w:rPr>
        <w:t>建立社区矫正社会工作者培养机制，提高社区矫正队伍稳定性。强化队伍教育培训，以实战实用实效为导向，提升社区矫正工作的专业化水平。进一步探索教育矫正新模式，深入推进社区矫正对象分类管理和个别化矫正试点工作。加强场所规范建设，实施社区矫正中心提档升级计划，着力打造设施齐备、功能健全、科学实用的执法工作平台。积极争创智慧矫正中心创建工作，组织成立创建工作专班，对创建工作进行指导督查，加强对工作的统筹协调，细化推进措施。加强与公检法的衔接配合，定期召开联席会议，规范社区矫正调查评估和交付衔接工作，坚决杜绝脱管、漏管现象发生。</w:t>
      </w:r>
      <w:r>
        <w:rPr>
          <w:rFonts w:hint="eastAsia" w:ascii="仿宋" w:hAnsi="仿宋" w:eastAsia="仿宋_GB2312" w:cs="仿宋_GB2312"/>
          <w:sz w:val="32"/>
          <w:szCs w:val="32"/>
        </w:rPr>
        <w:t>加强社会适应性帮扶，协调相关部门落实帮扶政策，帮助社区矫正对象解决就业就学、临时救助、生活保障等实际困难，</w:t>
      </w:r>
      <w:r>
        <w:rPr>
          <w:rFonts w:hint="eastAsia" w:ascii="仿宋" w:hAnsi="仿宋" w:eastAsia="仿宋" w:cs="仿宋"/>
          <w:sz w:val="32"/>
          <w:szCs w:val="32"/>
        </w:rPr>
        <w:t>提升社会适应性帮扶的质量和效能。</w:t>
      </w:r>
    </w:p>
    <w:p>
      <w:pPr>
        <w:spacing w:line="560" w:lineRule="exact"/>
        <w:ind w:firstLine="642" w:firstLineChars="200"/>
        <w:textAlignment w:val="baseline"/>
        <w:rPr>
          <w:rFonts w:ascii="仿宋" w:hAnsi="仿宋" w:eastAsia="楷体_GB2312" w:cs="楷体_GB2312"/>
          <w:b/>
          <w:bCs/>
          <w:sz w:val="32"/>
          <w:szCs w:val="32"/>
        </w:rPr>
      </w:pPr>
      <w:r>
        <w:rPr>
          <w:rFonts w:hint="eastAsia" w:ascii="仿宋" w:hAnsi="仿宋" w:eastAsia="楷体_GB2312" w:cs="楷体_GB2312"/>
          <w:b/>
          <w:bCs/>
          <w:sz w:val="32"/>
          <w:szCs w:val="32"/>
        </w:rPr>
        <w:t>（六）持续推进法治宣传教育</w:t>
      </w:r>
    </w:p>
    <w:p>
      <w:pPr>
        <w:pStyle w:val="6"/>
        <w:adjustRightInd w:val="0"/>
        <w:snapToGrid w:val="0"/>
        <w:spacing w:line="560" w:lineRule="exact"/>
        <w:ind w:firstLine="627" w:firstLineChars="196"/>
        <w:rPr>
          <w:rFonts w:ascii="仿宋" w:hAnsi="仿宋" w:eastAsia="仿宋_GB2312" w:cs="TimesNewRoman"/>
          <w:bCs/>
          <w:sz w:val="32"/>
          <w:szCs w:val="32"/>
        </w:rPr>
      </w:pPr>
      <w:r>
        <w:rPr>
          <w:rFonts w:hint="eastAsia" w:ascii="仿宋" w:hAnsi="仿宋" w:eastAsia="仿宋_GB2312" w:cs="仿宋_GB2312"/>
          <w:sz w:val="32"/>
          <w:szCs w:val="32"/>
        </w:rPr>
        <w:t>进一步健全完善党委领导、政府实施、人大政协监督、部门齐抓共管、社会力量参与的“大普法”工作机制，把法治宣传教育工作纳入经济社会发展规划，纳入各级领导班子和领导干部工作实绩考核。督促党政主要负责人履行普法教育第一责任人的职责，督促各级法宣工作领导小组办公室提高法治宣传教育工作的科学性、针对性和实效性，认真落实“谁执法谁普法”普法责任制。完善日常学法制度，定期组织法治讲座、法治论坛、法治研讨等，深入推动经常性学法。开展以案释法、旁听庭审、警示教育等活动，增强国家工作人员学法的覆盖面和吸引力。加强法治培训，把法治教育纳入国家工作人员入职培训、晋职培训的必训内容，确保法治培训课时数量和培训质量。进一步深化部门、行业、基层组织依法治理工作，开展法治县(区)、依法行政示范单位、民主法治示范村(社区)等创建活动，总结推广经验，建立健全制度。围绕社会热点难点问题和社会管理薄弱环节，开展法治宣传教育和专项治理活动，营造浓厚的人人崇法、人心思法、全民守法的社会氛围。</w:t>
      </w:r>
    </w:p>
    <w:p>
      <w:pPr>
        <w:rPr>
          <w:rFonts w:ascii="仿宋" w:hAnsi="仿宋"/>
        </w:rPr>
      </w:pPr>
    </w:p>
    <w:p>
      <w:pPr>
        <w:pStyle w:val="6"/>
        <w:adjustRightInd w:val="0"/>
        <w:snapToGrid w:val="0"/>
        <w:spacing w:line="560" w:lineRule="exact"/>
        <w:jc w:val="center"/>
        <w:rPr>
          <w:rFonts w:ascii="仿宋" w:hAnsi="仿宋" w:eastAsia="黑体" w:cs="TimesNewRoman"/>
          <w:bCs/>
          <w:sz w:val="36"/>
          <w:szCs w:val="36"/>
        </w:rPr>
      </w:pPr>
      <w:r>
        <w:rPr>
          <w:rFonts w:hint="eastAsia" w:ascii="仿宋" w:hAnsi="仿宋" w:eastAsia="黑体" w:cs="TimesNewRoman"/>
          <w:bCs/>
          <w:sz w:val="36"/>
          <w:szCs w:val="36"/>
        </w:rPr>
        <w:t>第二部分 2024年部门预算表</w:t>
      </w:r>
    </w:p>
    <w:p>
      <w:pPr>
        <w:pStyle w:val="6"/>
        <w:adjustRightInd w:val="0"/>
        <w:snapToGrid w:val="0"/>
        <w:spacing w:line="560" w:lineRule="exact"/>
        <w:ind w:firstLine="627" w:firstLineChars="196"/>
        <w:jc w:val="center"/>
        <w:rPr>
          <w:rFonts w:ascii="仿宋" w:hAnsi="仿宋" w:eastAsia="仿宋_GB2312" w:cs="TimesNewRoman"/>
          <w:bCs/>
          <w:sz w:val="32"/>
          <w:szCs w:val="32"/>
        </w:rPr>
      </w:pPr>
      <w:r>
        <w:rPr>
          <w:rFonts w:hint="eastAsia" w:ascii="仿宋" w:hAnsi="仿宋" w:eastAsia="仿宋_GB2312" w:cs="TimesNewRoman"/>
          <w:bCs/>
          <w:sz w:val="32"/>
          <w:szCs w:val="32"/>
        </w:rPr>
        <w:t>见附件1-2</w:t>
      </w:r>
    </w:p>
    <w:p>
      <w:pPr>
        <w:rPr>
          <w:rFonts w:ascii="仿宋" w:hAnsi="仿宋"/>
        </w:rPr>
      </w:pPr>
      <w:r>
        <w:rPr>
          <w:rFonts w:ascii="仿宋" w:hAnsi="仿宋"/>
        </w:rPr>
        <w:t xml:space="preserve">                                        </w:t>
      </w:r>
    </w:p>
    <w:p>
      <w:pPr>
        <w:pStyle w:val="6"/>
        <w:adjustRightInd w:val="0"/>
        <w:snapToGrid w:val="0"/>
        <w:spacing w:line="560" w:lineRule="exact"/>
        <w:jc w:val="center"/>
        <w:rPr>
          <w:rFonts w:ascii="仿宋" w:hAnsi="仿宋" w:eastAsia="黑体" w:cs="TimesNewRoman"/>
          <w:bCs/>
          <w:sz w:val="36"/>
          <w:szCs w:val="36"/>
        </w:rPr>
      </w:pPr>
      <w:r>
        <w:rPr>
          <w:rFonts w:hint="eastAsia" w:ascii="仿宋" w:hAnsi="仿宋" w:eastAsia="黑体" w:cs="TimesNewRoman"/>
          <w:bCs/>
          <w:sz w:val="36"/>
          <w:szCs w:val="36"/>
        </w:rPr>
        <w:t>第三部分 2024年部门预算情况说明</w:t>
      </w:r>
    </w:p>
    <w:p>
      <w:pPr>
        <w:rPr>
          <w:rFonts w:ascii="仿宋" w:hAnsi="仿宋"/>
        </w:rPr>
      </w:pP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一、关于2024年收支总表的说明</w:t>
      </w:r>
    </w:p>
    <w:p>
      <w:pPr>
        <w:pStyle w:val="6"/>
        <w:adjustRightInd w:val="0"/>
        <w:snapToGrid w:val="0"/>
        <w:spacing w:line="560" w:lineRule="exact"/>
        <w:ind w:firstLine="627" w:firstLineChars="196"/>
        <w:rPr>
          <w:rFonts w:ascii="仿宋" w:hAnsi="仿宋" w:eastAsia="仿宋_GB2312" w:cs="TimesNewRoman"/>
          <w:sz w:val="32"/>
          <w:szCs w:val="32"/>
        </w:rPr>
      </w:pPr>
      <w:r>
        <w:rPr>
          <w:rFonts w:hint="eastAsia" w:ascii="仿宋" w:hAnsi="仿宋" w:eastAsia="仿宋_GB2312" w:cs="TimesNewRoman"/>
          <w:sz w:val="32"/>
          <w:szCs w:val="32"/>
        </w:rPr>
        <w:t>按照综合预算的原则，淮北市司法局所有收入和支出均纳入部门预算管理。淮北市司法局2024年收支总预算1815.49万元，收入包括一般公共预算拨款收入、政府性基金预算拨款收入、财政专户管理资金收入，支出包括：公共安全支出、社会保障和就业支出、卫生健康支出、住房保障支出。</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二、关于2024年收入总表的说明</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淮北市司法局2024年收入预算</w:t>
      </w:r>
      <w:r>
        <w:rPr>
          <w:rFonts w:hint="eastAsia" w:ascii="仿宋" w:hAnsi="仿宋" w:eastAsia="仿宋_GB2312" w:cs="TimesNewRoman"/>
          <w:sz w:val="32"/>
          <w:szCs w:val="32"/>
        </w:rPr>
        <w:t>1815.49</w:t>
      </w:r>
      <w:r>
        <w:rPr>
          <w:rFonts w:hint="eastAsia" w:ascii="仿宋" w:hAnsi="仿宋" w:eastAsia="仿宋_GB2312" w:cs="TimesNewRoman"/>
          <w:kern w:val="0"/>
          <w:sz w:val="32"/>
          <w:szCs w:val="32"/>
        </w:rPr>
        <w:t>万元，其中，本年收入</w:t>
      </w:r>
      <w:r>
        <w:rPr>
          <w:rFonts w:hint="eastAsia" w:ascii="仿宋" w:hAnsi="仿宋" w:eastAsia="仿宋_GB2312" w:cs="TimesNewRoman"/>
          <w:sz w:val="32"/>
          <w:szCs w:val="32"/>
        </w:rPr>
        <w:t>1815.49</w:t>
      </w:r>
      <w:r>
        <w:rPr>
          <w:rFonts w:hint="eastAsia" w:ascii="仿宋" w:hAnsi="仿宋" w:eastAsia="仿宋_GB2312" w:cs="TimesNewRoman"/>
          <w:kern w:val="0"/>
          <w:sz w:val="32"/>
          <w:szCs w:val="32"/>
        </w:rPr>
        <w:t>万元。</w:t>
      </w:r>
    </w:p>
    <w:p>
      <w:pPr>
        <w:adjustRightInd w:val="0"/>
        <w:snapToGrid w:val="0"/>
        <w:spacing w:line="600" w:lineRule="exact"/>
        <w:ind w:firstLine="642" w:firstLineChars="200"/>
        <w:rPr>
          <w:rFonts w:ascii="仿宋_GB2312" w:hAnsi="仿宋" w:eastAsia="仿宋_GB2312"/>
          <w:sz w:val="32"/>
          <w:szCs w:val="32"/>
        </w:rPr>
      </w:pPr>
      <w:r>
        <w:rPr>
          <w:rFonts w:hint="eastAsia" w:ascii="仿宋" w:hAnsi="仿宋" w:eastAsia="仿宋_GB2312" w:cs="TimesNewRoman"/>
          <w:b/>
          <w:kern w:val="0"/>
          <w:sz w:val="32"/>
          <w:szCs w:val="32"/>
        </w:rPr>
        <w:t>（一）本年收入</w:t>
      </w:r>
      <w:r>
        <w:rPr>
          <w:rFonts w:hint="eastAsia" w:ascii="仿宋" w:hAnsi="仿宋" w:eastAsia="仿宋_GB2312" w:cs="TimesNewRoman"/>
          <w:sz w:val="32"/>
          <w:szCs w:val="32"/>
        </w:rPr>
        <w:t>1815.49</w:t>
      </w:r>
      <w:r>
        <w:rPr>
          <w:rFonts w:hint="eastAsia" w:ascii="仿宋" w:hAnsi="仿宋" w:eastAsia="仿宋_GB2312" w:cs="TimesNewRoman"/>
          <w:b/>
          <w:kern w:val="0"/>
          <w:sz w:val="32"/>
          <w:szCs w:val="32"/>
        </w:rPr>
        <w:t>万元，</w:t>
      </w:r>
      <w:r>
        <w:rPr>
          <w:rFonts w:hint="eastAsia" w:ascii="仿宋" w:hAnsi="仿宋" w:eastAsia="仿宋_GB2312" w:cs="TimesNewRoman"/>
          <w:kern w:val="0"/>
          <w:sz w:val="32"/>
          <w:szCs w:val="32"/>
        </w:rPr>
        <w:t>主要包括：一般公共预算拨款收入</w:t>
      </w:r>
      <w:r>
        <w:rPr>
          <w:rFonts w:hint="eastAsia" w:ascii="仿宋" w:hAnsi="仿宋" w:eastAsia="仿宋_GB2312" w:cs="TimesNewRoman"/>
          <w:sz w:val="32"/>
          <w:szCs w:val="32"/>
        </w:rPr>
        <w:t>1815.49</w:t>
      </w:r>
      <w:r>
        <w:rPr>
          <w:rFonts w:hint="eastAsia" w:ascii="仿宋" w:hAnsi="仿宋" w:eastAsia="仿宋_GB2312" w:cs="TimesNewRoman"/>
          <w:kern w:val="0"/>
          <w:sz w:val="32"/>
          <w:szCs w:val="32"/>
        </w:rPr>
        <w:t>万元，占100%，比2023年预算增加318.04万元，增长21.24%，原因主要是</w:t>
      </w:r>
      <w:r>
        <w:rPr>
          <w:rFonts w:hint="eastAsia" w:ascii="仿宋" w:hAnsi="仿宋" w:eastAsia="仿宋_GB2312" w:cs="Times New Roman"/>
          <w:sz w:val="32"/>
          <w:szCs w:val="32"/>
        </w:rPr>
        <w:t>在职人员基本支出增加</w:t>
      </w:r>
      <w:r>
        <w:rPr>
          <w:rFonts w:hint="eastAsia" w:ascii="仿宋" w:hAnsi="仿宋" w:eastAsia="仿宋_GB2312" w:cs="TimesNewRoman"/>
          <w:kern w:val="0"/>
          <w:sz w:val="32"/>
          <w:szCs w:val="32"/>
        </w:rPr>
        <w:t>；</w:t>
      </w:r>
      <w:r>
        <w:rPr>
          <w:rFonts w:hint="eastAsia" w:ascii="仿宋_GB2312" w:hAnsi="仿宋" w:eastAsia="仿宋_GB2312"/>
          <w:sz w:val="32"/>
          <w:szCs w:val="32"/>
        </w:rPr>
        <w:t>政府性基金预算拨款收入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年预算增减</w:t>
      </w:r>
      <w:r>
        <w:rPr>
          <w:rFonts w:hint="eastAsia" w:ascii="仿宋_GB2312" w:hAnsi="仿宋" w:eastAsia="仿宋_GB2312"/>
          <w:sz w:val="32"/>
          <w:szCs w:val="32"/>
          <w:lang w:eastAsia="zh-CN"/>
        </w:rPr>
        <w:t>无变化</w:t>
      </w:r>
      <w:r>
        <w:rPr>
          <w:rFonts w:hint="eastAsia" w:ascii="仿宋_GB2312" w:hAnsi="仿宋" w:eastAsia="仿宋_GB2312"/>
          <w:sz w:val="32"/>
          <w:szCs w:val="32"/>
        </w:rPr>
        <w:t>；财政专户管理资金收入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%，比</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年预算增减</w:t>
      </w:r>
      <w:r>
        <w:rPr>
          <w:rFonts w:hint="eastAsia" w:ascii="仿宋_GB2312" w:hAnsi="仿宋" w:eastAsia="仿宋_GB2312"/>
          <w:sz w:val="32"/>
          <w:szCs w:val="32"/>
          <w:lang w:eastAsia="zh-CN"/>
        </w:rPr>
        <w:t>无变化</w:t>
      </w:r>
      <w:r>
        <w:rPr>
          <w:rFonts w:hint="eastAsia" w:ascii="仿宋_GB2312" w:hAnsi="仿宋" w:eastAsia="仿宋_GB2312"/>
          <w:sz w:val="32"/>
          <w:szCs w:val="32"/>
        </w:rPr>
        <w:t>。</w:t>
      </w:r>
    </w:p>
    <w:p>
      <w:pPr>
        <w:pStyle w:val="6"/>
        <w:adjustRightInd w:val="0"/>
        <w:snapToGrid w:val="0"/>
        <w:spacing w:line="560" w:lineRule="exact"/>
        <w:ind w:firstLine="640" w:firstLineChars="200"/>
        <w:rPr>
          <w:rFonts w:ascii="仿宋" w:hAnsi="仿宋" w:eastAsia="黑体" w:cs="TimesNewRoman"/>
          <w:bCs/>
          <w:sz w:val="32"/>
          <w:szCs w:val="32"/>
        </w:rPr>
      </w:pPr>
      <w:r>
        <w:rPr>
          <w:rFonts w:hint="eastAsia" w:ascii="仿宋" w:hAnsi="仿宋" w:eastAsia="黑体" w:cs="TimesNewRoman"/>
          <w:bCs/>
          <w:sz w:val="32"/>
          <w:szCs w:val="32"/>
        </w:rPr>
        <w:t>三、关于2024年支出总表的说明</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淮北市司法局2024年支出预算</w:t>
      </w:r>
      <w:r>
        <w:rPr>
          <w:rFonts w:hint="eastAsia" w:ascii="仿宋" w:hAnsi="仿宋" w:eastAsia="仿宋_GB2312" w:cs="TimesNewRoman"/>
          <w:sz w:val="32"/>
          <w:szCs w:val="32"/>
        </w:rPr>
        <w:t>1815.49</w:t>
      </w:r>
      <w:r>
        <w:rPr>
          <w:rFonts w:hint="eastAsia" w:ascii="仿宋" w:hAnsi="仿宋" w:eastAsia="仿宋_GB2312" w:cs="TimesNewRoman"/>
          <w:kern w:val="0"/>
          <w:sz w:val="32"/>
          <w:szCs w:val="32"/>
        </w:rPr>
        <w:t>万元，比2023年预算增加318.04万元，增长21.24%，原因主要是</w:t>
      </w:r>
      <w:r>
        <w:rPr>
          <w:rFonts w:hint="eastAsia" w:ascii="仿宋" w:hAnsi="仿宋" w:eastAsia="仿宋_GB2312" w:cs="Times New Roman"/>
          <w:sz w:val="32"/>
          <w:szCs w:val="32"/>
        </w:rPr>
        <w:t>在职人员基本支出增加</w:t>
      </w:r>
      <w:r>
        <w:rPr>
          <w:rFonts w:hint="eastAsia" w:ascii="仿宋" w:hAnsi="仿宋" w:eastAsia="仿宋_GB2312" w:cs="TimesNewRoman"/>
          <w:kern w:val="0"/>
          <w:sz w:val="32"/>
          <w:szCs w:val="32"/>
        </w:rPr>
        <w:t>。其中，基本支出1412.06万元，占77.78%，主要用于保障机构日常运转、完成日常工作任务；项目支出403.44万元，占22.22%，主要用于</w:t>
      </w:r>
      <w:r>
        <w:rPr>
          <w:rFonts w:hint="eastAsia" w:ascii="仿宋" w:hAnsi="仿宋" w:eastAsia="仿宋_GB2312"/>
          <w:sz w:val="32"/>
          <w:szCs w:val="32"/>
        </w:rPr>
        <w:t>司法局和仲裁委行政等工作</w:t>
      </w:r>
      <w:r>
        <w:rPr>
          <w:rFonts w:hint="eastAsia" w:ascii="仿宋" w:hAnsi="仿宋" w:eastAsia="仿宋_GB2312" w:cs="TimesNewRoman"/>
          <w:kern w:val="0"/>
          <w:sz w:val="32"/>
          <w:szCs w:val="32"/>
        </w:rPr>
        <w:t>。</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四、关于2024年财政拨款收支总表的说明</w:t>
      </w:r>
    </w:p>
    <w:p>
      <w:pPr>
        <w:pStyle w:val="6"/>
        <w:adjustRightInd w:val="0"/>
        <w:snapToGrid w:val="0"/>
        <w:spacing w:before="0" w:beforeAutospacing="0" w:after="0" w:afterAutospacing="0" w:line="600" w:lineRule="exact"/>
        <w:ind w:firstLine="640" w:firstLineChars="200"/>
        <w:rPr>
          <w:rFonts w:ascii="仿宋" w:hAnsi="仿宋" w:eastAsia="仿宋_GB2312" w:cs="TimesNewRoman"/>
          <w:sz w:val="32"/>
          <w:szCs w:val="32"/>
        </w:rPr>
      </w:pPr>
      <w:r>
        <w:rPr>
          <w:rFonts w:hint="eastAsia" w:ascii="仿宋" w:hAnsi="仿宋" w:eastAsia="仿宋_GB2312" w:cs="TimesNewRoman"/>
          <w:sz w:val="32"/>
          <w:szCs w:val="32"/>
        </w:rPr>
        <w:t>淮北市司法局2024年财政拨款收支预算1815.49万元。收入按资金来源分为：一般公共预算拨款1815.49万元、政府性基金预算拨款0万元；按资金年度分为：本年财政拨款收入1815.49万元。支出按功能分类分为：</w:t>
      </w:r>
      <w:r>
        <w:rPr>
          <w:rFonts w:hint="eastAsia" w:ascii="仿宋" w:hAnsi="仿宋" w:eastAsia="仿宋_GB2312" w:cs="Times New Roman"/>
          <w:kern w:val="2"/>
          <w:sz w:val="32"/>
          <w:szCs w:val="32"/>
        </w:rPr>
        <w:t>公共安全支出1238.08万元，占68.20%；社会保障和就业支出347.66万元，占19.15%；卫生健康支出47.58万元，占2.62%；住房保障支出182.17万元，占10.03%。</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五、关于2024年一般公共预算支出表的说明</w:t>
      </w:r>
    </w:p>
    <w:p>
      <w:pPr>
        <w:pStyle w:val="6"/>
        <w:adjustRightInd w:val="0"/>
        <w:snapToGrid w:val="0"/>
        <w:spacing w:line="560" w:lineRule="exact"/>
        <w:ind w:firstLine="629" w:firstLineChars="196"/>
        <w:rPr>
          <w:rFonts w:ascii="仿宋" w:hAnsi="仿宋" w:eastAsia="楷体_GB2312" w:cs="TimesNewRoman"/>
          <w:b/>
          <w:sz w:val="32"/>
          <w:szCs w:val="32"/>
        </w:rPr>
      </w:pPr>
      <w:r>
        <w:rPr>
          <w:rFonts w:hint="eastAsia" w:ascii="仿宋" w:hAnsi="仿宋" w:eastAsia="楷体_GB2312" w:cs="TimesNewRoman"/>
          <w:b/>
          <w:sz w:val="32"/>
          <w:szCs w:val="32"/>
        </w:rPr>
        <w:t>（一）一般公共预算支出规模变化情况。</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淮北市司法局2024年一般公共预算支出</w:t>
      </w:r>
      <w:r>
        <w:rPr>
          <w:rFonts w:hint="eastAsia" w:ascii="仿宋" w:hAnsi="仿宋" w:eastAsia="仿宋_GB2312" w:cs="TimesNewRoman"/>
          <w:sz w:val="32"/>
          <w:szCs w:val="32"/>
        </w:rPr>
        <w:t>1815.49</w:t>
      </w:r>
      <w:r>
        <w:rPr>
          <w:rFonts w:hint="eastAsia" w:ascii="仿宋" w:hAnsi="仿宋" w:eastAsia="仿宋_GB2312" w:cs="TimesNewRoman"/>
          <w:kern w:val="0"/>
          <w:sz w:val="32"/>
          <w:szCs w:val="32"/>
        </w:rPr>
        <w:t>万元，比2024年预算增加318.04万元，增长21.24%，主要原因：主要是</w:t>
      </w:r>
      <w:r>
        <w:rPr>
          <w:rFonts w:hint="eastAsia" w:ascii="仿宋" w:hAnsi="仿宋" w:eastAsia="仿宋_GB2312" w:cs="Times New Roman"/>
          <w:sz w:val="32"/>
          <w:szCs w:val="32"/>
        </w:rPr>
        <w:t>在职人员基本支出增加</w:t>
      </w:r>
      <w:r>
        <w:rPr>
          <w:rFonts w:hint="eastAsia" w:ascii="仿宋" w:hAnsi="仿宋" w:eastAsia="仿宋_GB2312" w:cs="TimesNewRoman"/>
          <w:kern w:val="0"/>
          <w:sz w:val="32"/>
          <w:szCs w:val="32"/>
        </w:rPr>
        <w:t>。</w:t>
      </w:r>
    </w:p>
    <w:p>
      <w:pPr>
        <w:pStyle w:val="6"/>
        <w:adjustRightInd w:val="0"/>
        <w:snapToGrid w:val="0"/>
        <w:spacing w:line="560" w:lineRule="exact"/>
        <w:ind w:firstLine="629" w:firstLineChars="196"/>
        <w:rPr>
          <w:rFonts w:ascii="仿宋" w:hAnsi="仿宋" w:eastAsia="楷体_GB2312" w:cs="TimesNewRoman"/>
          <w:b/>
          <w:sz w:val="32"/>
          <w:szCs w:val="32"/>
        </w:rPr>
      </w:pPr>
      <w:r>
        <w:rPr>
          <w:rFonts w:hint="eastAsia" w:ascii="仿宋" w:hAnsi="仿宋" w:eastAsia="楷体_GB2312" w:cs="TimesNewRoman"/>
          <w:b/>
          <w:sz w:val="32"/>
          <w:szCs w:val="32"/>
        </w:rPr>
        <w:t>（二）一般公共预算支出结构情况。</w:t>
      </w:r>
    </w:p>
    <w:p>
      <w:pPr>
        <w:ind w:firstLine="640" w:firstLineChars="200"/>
        <w:rPr>
          <w:rFonts w:ascii="仿宋" w:hAnsi="仿宋" w:eastAsia="仿宋_GB2312" w:cs="TimesNewRoman"/>
          <w:kern w:val="0"/>
          <w:sz w:val="32"/>
          <w:szCs w:val="32"/>
        </w:rPr>
      </w:pPr>
      <w:r>
        <w:rPr>
          <w:rFonts w:hint="eastAsia" w:ascii="仿宋" w:hAnsi="仿宋" w:eastAsia="仿宋_GB2312" w:cs="Times New Roman"/>
          <w:sz w:val="32"/>
          <w:szCs w:val="32"/>
        </w:rPr>
        <w:t>公共安全支出1238.08万元，占68.20%；社会保障和就业支出347.66万元，占19.15%；卫生健康支出47.58万元，占2.62%；住房保障支出182.17万元，占10.03%。</w:t>
      </w:r>
    </w:p>
    <w:p>
      <w:pPr>
        <w:pStyle w:val="6"/>
        <w:adjustRightInd w:val="0"/>
        <w:snapToGrid w:val="0"/>
        <w:spacing w:line="560" w:lineRule="exact"/>
        <w:ind w:firstLine="629" w:firstLineChars="196"/>
        <w:rPr>
          <w:rFonts w:ascii="仿宋" w:hAnsi="仿宋" w:eastAsia="楷体_GB2312" w:cs="TimesNewRoman"/>
          <w:b/>
          <w:sz w:val="32"/>
          <w:szCs w:val="32"/>
        </w:rPr>
      </w:pPr>
      <w:r>
        <w:rPr>
          <w:rFonts w:hint="eastAsia" w:ascii="仿宋" w:hAnsi="仿宋" w:eastAsia="楷体_GB2312" w:cs="TimesNewRoman"/>
          <w:b/>
          <w:sz w:val="32"/>
          <w:szCs w:val="32"/>
        </w:rPr>
        <w:t>（三）一般公共预算支出具体使用情况。</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1.公共安全支出（类）司法（款）行政运行（项）</w:t>
      </w:r>
      <w:r>
        <w:rPr>
          <w:rFonts w:hint="eastAsia" w:ascii="仿宋" w:hAnsi="仿宋" w:eastAsia="仿宋_GB2312"/>
          <w:sz w:val="32"/>
          <w:szCs w:val="32"/>
        </w:rPr>
        <w:t>2024年预算555.50万元，比2023年预算减少8.19万元，减少1.45%，减少原因主要是行政人员工资预算安排略有减少。</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2.公共安全支出（类）司法（款）一般行政管理事务（项）</w:t>
      </w:r>
      <w:r>
        <w:rPr>
          <w:rFonts w:hint="eastAsia" w:ascii="仿宋" w:hAnsi="仿宋" w:eastAsia="仿宋_GB2312"/>
          <w:sz w:val="32"/>
          <w:szCs w:val="32"/>
        </w:rPr>
        <w:t>2024年预算122.93万元，比2023年预算增加7.5万元，增加6.50%，增加原因主要是经费调整补贴基本支出。</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3.公共安全支出（类）司法（款）公共法律服务（项）</w:t>
      </w:r>
      <w:r>
        <w:rPr>
          <w:rFonts w:hint="eastAsia" w:ascii="仿宋" w:hAnsi="仿宋" w:eastAsia="仿宋_GB2312"/>
          <w:sz w:val="32"/>
          <w:szCs w:val="32"/>
        </w:rPr>
        <w:t>2024年预算21.9万元，</w:t>
      </w:r>
      <w:r>
        <w:rPr>
          <w:rFonts w:hint="eastAsia" w:ascii="仿宋" w:hAnsi="仿宋" w:eastAsia="仿宋_GB2312"/>
          <w:sz w:val="32"/>
          <w:szCs w:val="32"/>
          <w:lang w:eastAsia="zh-CN"/>
        </w:rPr>
        <w:t>比</w:t>
      </w:r>
      <w:r>
        <w:rPr>
          <w:rFonts w:hint="eastAsia" w:ascii="仿宋" w:hAnsi="仿宋" w:eastAsia="仿宋_GB2312"/>
          <w:sz w:val="32"/>
          <w:szCs w:val="32"/>
          <w:lang w:val="en-US" w:eastAsia="zh-CN"/>
        </w:rPr>
        <w:t>2023年增加0万元，增长0%，原因主要是无增减变化</w:t>
      </w:r>
      <w:r>
        <w:rPr>
          <w:rFonts w:hint="eastAsia" w:ascii="仿宋" w:hAnsi="仿宋" w:eastAsia="仿宋_GB2312"/>
          <w:sz w:val="32"/>
          <w:szCs w:val="32"/>
        </w:rPr>
        <w:t>。</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4.公共安全支出（类）司法（款）事业运行（项）</w:t>
      </w:r>
      <w:r>
        <w:rPr>
          <w:rFonts w:hint="eastAsia" w:ascii="仿宋" w:hAnsi="仿宋" w:eastAsia="仿宋_GB2312"/>
          <w:sz w:val="32"/>
          <w:szCs w:val="32"/>
        </w:rPr>
        <w:t>2024年预算537.74万元，比2023年预算增长90.66万元，增加20.28%，增长原因主要是事业人员工资安排预算增加。</w:t>
      </w:r>
    </w:p>
    <w:p>
      <w:pPr>
        <w:adjustRightInd w:val="0"/>
        <w:snapToGrid w:val="0"/>
        <w:spacing w:line="600" w:lineRule="exact"/>
        <w:ind w:firstLine="640" w:firstLineChars="200"/>
        <w:rPr>
          <w:rFonts w:ascii="仿宋" w:hAnsi="仿宋" w:eastAsia="仿宋_GB2312"/>
          <w:sz w:val="32"/>
          <w:szCs w:val="32"/>
        </w:rPr>
      </w:pP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5.社会保障和就业支出（类）行政事业单位养老支出（款）行政单位离退休（项）</w:t>
      </w:r>
      <w:r>
        <w:rPr>
          <w:rFonts w:hint="eastAsia" w:ascii="仿宋" w:hAnsi="仿宋" w:eastAsia="仿宋_GB2312"/>
          <w:sz w:val="32"/>
          <w:szCs w:val="32"/>
        </w:rPr>
        <w:t>2024年预算211.58万元，比2023年预算增加152.89万元，增长260.53%，增长原因主要是预算安排离退休人员绩效工资。</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6.社会保障和就业支出（类）行政事业单位养老支出（款）　机关事业单位基本养老保险缴费支出（项）</w:t>
      </w:r>
      <w:r>
        <w:rPr>
          <w:rFonts w:hint="eastAsia" w:ascii="仿宋" w:hAnsi="仿宋" w:eastAsia="仿宋_GB2312"/>
          <w:sz w:val="32"/>
          <w:szCs w:val="32"/>
        </w:rPr>
        <w:t>2024年预算89.82万元，比2023年预算增长4.83万元，增加5.68%，增长原因主要是养老保险基数增加。</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7.社会保障和就业支出（类）行政事业单位离退休（款）　机关事业单位职业年金缴费支出（项）</w:t>
      </w:r>
      <w:r>
        <w:rPr>
          <w:rFonts w:hint="eastAsia" w:ascii="仿宋" w:hAnsi="仿宋" w:eastAsia="仿宋_GB2312"/>
          <w:sz w:val="32"/>
          <w:szCs w:val="32"/>
        </w:rPr>
        <w:t>2024年预算44.91万元，比2023年预算增加2.41万元，增长5.68%，增长原因主要是预算安排职业年金支出增加。</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8.社会保障和就业支出（类）其他社会保障和就业支出（款）　其他社会保障和就业支出（项）</w:t>
      </w:r>
      <w:r>
        <w:rPr>
          <w:rFonts w:hint="eastAsia" w:ascii="仿宋" w:hAnsi="仿宋" w:eastAsia="仿宋_GB2312"/>
          <w:sz w:val="32"/>
          <w:szCs w:val="32"/>
        </w:rPr>
        <w:t>2024年预算1.36万元，比2023年预算增加0.57万元，增长72.16%，增长原因主要是预算安排其他社会保险支出增加。</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9.卫生健康支出（类）行政事业单位医疗（款）行政单位医疗（项）</w:t>
      </w:r>
      <w:r>
        <w:rPr>
          <w:rFonts w:hint="eastAsia" w:ascii="仿宋" w:hAnsi="仿宋" w:eastAsia="仿宋_GB2312"/>
          <w:sz w:val="32"/>
          <w:szCs w:val="32"/>
        </w:rPr>
        <w:t>2024年预算35.06万元，比2023年预算增加1.86万元，增长5.60%，增长原因主要是基数调整等。</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10.卫生健康支出（类）行政事业单位医疗（款）公务员医疗补助（项）</w:t>
      </w:r>
      <w:r>
        <w:rPr>
          <w:rFonts w:hint="eastAsia" w:ascii="仿宋" w:hAnsi="仿宋" w:eastAsia="仿宋_GB2312"/>
          <w:sz w:val="32"/>
          <w:szCs w:val="32"/>
        </w:rPr>
        <w:t>2024年预算12.52万元，比2023年预算增长0.66万元，增加5.60%，增长原因主要是基数调整等。</w:t>
      </w:r>
    </w:p>
    <w:p>
      <w:pPr>
        <w:adjustRightInd w:val="0"/>
        <w:snapToGrid w:val="0"/>
        <w:spacing w:line="600" w:lineRule="exact"/>
        <w:ind w:firstLine="642" w:firstLineChars="200"/>
        <w:rPr>
          <w:rFonts w:ascii="仿宋" w:hAnsi="仿宋" w:eastAsia="仿宋_GB2312" w:cs="Times New Roman"/>
          <w:sz w:val="32"/>
          <w:szCs w:val="32"/>
        </w:rPr>
      </w:pPr>
      <w:r>
        <w:rPr>
          <w:rFonts w:hint="eastAsia" w:ascii="仿宋" w:hAnsi="仿宋" w:eastAsia="仿宋_GB2312" w:cs="Times New Roman"/>
          <w:b/>
          <w:sz w:val="32"/>
          <w:szCs w:val="32"/>
        </w:rPr>
        <w:t>11.住房保障支出（类）住房改革支出（款）住房公积金（项）</w:t>
      </w:r>
      <w:r>
        <w:rPr>
          <w:rFonts w:hint="eastAsia" w:ascii="仿宋" w:hAnsi="仿宋" w:eastAsia="仿宋_GB2312" w:cs="Times New Roman"/>
          <w:sz w:val="32"/>
          <w:szCs w:val="32"/>
        </w:rPr>
        <w:t>2024年预算100.04万元，比2023年预算增长17.22万元，增长20.79%，增长原因主要是人员基数增加。</w:t>
      </w:r>
    </w:p>
    <w:p>
      <w:pPr>
        <w:adjustRightInd w:val="0"/>
        <w:snapToGrid w:val="0"/>
        <w:spacing w:line="600" w:lineRule="exact"/>
        <w:ind w:firstLine="642" w:firstLineChars="200"/>
        <w:rPr>
          <w:rFonts w:ascii="仿宋" w:hAnsi="仿宋" w:eastAsia="仿宋_GB2312" w:cs="Times New Roman"/>
          <w:sz w:val="32"/>
          <w:szCs w:val="32"/>
        </w:rPr>
      </w:pPr>
      <w:r>
        <w:rPr>
          <w:rFonts w:hint="eastAsia" w:ascii="仿宋" w:hAnsi="仿宋" w:eastAsia="仿宋_GB2312"/>
          <w:b/>
          <w:sz w:val="32"/>
          <w:szCs w:val="32"/>
        </w:rPr>
        <w:t>12.住房保障支出（类）住房改革支出（款）提租补贴（项）</w:t>
      </w:r>
      <w:r>
        <w:rPr>
          <w:rFonts w:hint="eastAsia" w:ascii="仿宋" w:hAnsi="仿宋" w:eastAsia="仿宋_GB2312"/>
          <w:sz w:val="32"/>
          <w:szCs w:val="32"/>
        </w:rPr>
        <w:t>2024年预算40.45万元，</w:t>
      </w:r>
      <w:r>
        <w:rPr>
          <w:rFonts w:hint="eastAsia" w:ascii="仿宋" w:hAnsi="仿宋" w:eastAsia="仿宋_GB2312" w:cs="Times New Roman"/>
          <w:sz w:val="32"/>
          <w:szCs w:val="32"/>
        </w:rPr>
        <w:t>比2023年预算增加40.45万元，增加100%，</w:t>
      </w:r>
      <w:r>
        <w:rPr>
          <w:rFonts w:hint="eastAsia" w:ascii="仿宋" w:hAnsi="仿宋" w:eastAsia="仿宋_GB2312"/>
          <w:sz w:val="32"/>
          <w:szCs w:val="32"/>
        </w:rPr>
        <w:t>增长原因主要是本年新增预算安排提租补贴支出。</w:t>
      </w:r>
    </w:p>
    <w:p>
      <w:pPr>
        <w:adjustRightInd w:val="0"/>
        <w:snapToGrid w:val="0"/>
        <w:spacing w:line="600" w:lineRule="exact"/>
        <w:ind w:firstLine="642" w:firstLineChars="200"/>
        <w:rPr>
          <w:rFonts w:ascii="仿宋" w:hAnsi="仿宋" w:eastAsia="仿宋_GB2312" w:cs="Times New Roman"/>
          <w:sz w:val="32"/>
          <w:szCs w:val="32"/>
        </w:rPr>
      </w:pPr>
      <w:r>
        <w:rPr>
          <w:rFonts w:hint="eastAsia" w:ascii="仿宋" w:hAnsi="仿宋" w:eastAsia="仿宋_GB2312"/>
          <w:b/>
          <w:sz w:val="32"/>
          <w:szCs w:val="32"/>
        </w:rPr>
        <w:t>13.住房保障支出（类）住房改革支出（款）购房补贴（项）</w:t>
      </w:r>
      <w:r>
        <w:rPr>
          <w:rFonts w:hint="eastAsia" w:ascii="仿宋" w:hAnsi="仿宋" w:eastAsia="仿宋_GB2312"/>
          <w:sz w:val="32"/>
          <w:szCs w:val="32"/>
        </w:rPr>
        <w:t>2024年预算41.68万元，</w:t>
      </w:r>
      <w:r>
        <w:rPr>
          <w:rFonts w:hint="eastAsia" w:ascii="仿宋" w:hAnsi="仿宋" w:eastAsia="仿宋_GB2312" w:cs="Times New Roman"/>
          <w:sz w:val="32"/>
          <w:szCs w:val="32"/>
        </w:rPr>
        <w:t>比2023年预算增加7.17万元，增加20.79%，</w:t>
      </w:r>
      <w:r>
        <w:rPr>
          <w:rFonts w:hint="eastAsia" w:ascii="仿宋" w:hAnsi="仿宋" w:eastAsia="仿宋_GB2312"/>
          <w:sz w:val="32"/>
          <w:szCs w:val="32"/>
        </w:rPr>
        <w:t>增长原因主要是人员基数增加，该项功能科目预算增加。</w:t>
      </w:r>
    </w:p>
    <w:p>
      <w:pPr>
        <w:pStyle w:val="6"/>
        <w:adjustRightInd w:val="0"/>
        <w:snapToGrid w:val="0"/>
        <w:spacing w:before="0" w:beforeAutospacing="0" w:after="0" w:afterAutospacing="0" w:line="600" w:lineRule="exact"/>
        <w:ind w:firstLine="640" w:firstLineChars="200"/>
        <w:rPr>
          <w:rFonts w:ascii="仿宋" w:hAnsi="仿宋" w:eastAsia="黑体" w:cs="Times New Roman"/>
          <w:color w:val="000000"/>
          <w:kern w:val="2"/>
          <w:sz w:val="32"/>
          <w:szCs w:val="32"/>
        </w:rPr>
      </w:pPr>
      <w:r>
        <w:rPr>
          <w:rFonts w:hint="eastAsia" w:ascii="仿宋" w:hAnsi="仿宋" w:eastAsia="黑体" w:cs="Times New Roman"/>
          <w:color w:val="000000"/>
          <w:kern w:val="2"/>
          <w:sz w:val="32"/>
          <w:szCs w:val="32"/>
        </w:rPr>
        <w:t>六、关于2024年一般公共预算基本支出表的说明</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淮北市司法局（部门）</w:t>
      </w:r>
      <w:r>
        <w:rPr>
          <w:rFonts w:hint="eastAsia" w:ascii="仿宋" w:hAnsi="仿宋" w:eastAsia="仿宋" w:cs="仿宋"/>
          <w:kern w:val="0"/>
          <w:sz w:val="32"/>
          <w:szCs w:val="32"/>
        </w:rPr>
        <w:t>2024</w:t>
      </w:r>
      <w:r>
        <w:rPr>
          <w:rFonts w:hint="eastAsia" w:ascii="仿宋" w:hAnsi="仿宋" w:eastAsia="仿宋_GB2312" w:cs="TimesNewRoman"/>
          <w:kern w:val="0"/>
          <w:sz w:val="32"/>
          <w:szCs w:val="32"/>
        </w:rPr>
        <w:t>年一般公共预算基本支出1412.06万元，其中，人员经费1279.92万元，公用经费132.14万元。</w:t>
      </w:r>
    </w:p>
    <w:p>
      <w:pPr>
        <w:ind w:firstLine="642" w:firstLineChars="200"/>
        <w:rPr>
          <w:rFonts w:ascii="仿宋" w:hAnsi="仿宋" w:eastAsia="仿宋_GB2312" w:cs="TimesNewRoman"/>
          <w:kern w:val="0"/>
          <w:sz w:val="32"/>
          <w:szCs w:val="32"/>
        </w:rPr>
      </w:pPr>
      <w:r>
        <w:rPr>
          <w:rFonts w:hint="eastAsia" w:ascii="仿宋" w:hAnsi="仿宋" w:eastAsia="仿宋_GB2312" w:cs="TimesNewRoman"/>
          <w:b/>
          <w:kern w:val="0"/>
          <w:sz w:val="32"/>
          <w:szCs w:val="32"/>
        </w:rPr>
        <w:t>（一）人员经费</w:t>
      </w:r>
      <w:r>
        <w:rPr>
          <w:rFonts w:hint="eastAsia" w:ascii="仿宋" w:hAnsi="仿宋" w:eastAsia="仿宋_GB2312" w:cs="TimesNewRoman"/>
          <w:kern w:val="0"/>
          <w:sz w:val="32"/>
          <w:szCs w:val="32"/>
        </w:rPr>
        <w:t>1279.92</w:t>
      </w:r>
      <w:r>
        <w:rPr>
          <w:rFonts w:hint="eastAsia" w:ascii="仿宋" w:hAnsi="仿宋" w:eastAsia="仿宋_GB2312" w:cs="TimesNewRoman"/>
          <w:b/>
          <w:kern w:val="0"/>
          <w:sz w:val="32"/>
          <w:szCs w:val="32"/>
        </w:rPr>
        <w:t>万元，</w:t>
      </w:r>
      <w:r>
        <w:rPr>
          <w:rFonts w:hint="eastAsia" w:ascii="仿宋" w:hAnsi="仿宋" w:eastAsia="仿宋_GB2312" w:cs="TimesNewRoman"/>
          <w:kern w:val="0"/>
          <w:sz w:val="32"/>
          <w:szCs w:val="32"/>
        </w:rPr>
        <w:t>主要包括:基本工资</w:t>
      </w:r>
      <w:r>
        <w:rPr>
          <w:rFonts w:hint="eastAsia" w:ascii="仿宋" w:hAnsi="仿宋" w:eastAsia="仿宋_GB2312" w:cs="TimesNewRoman"/>
          <w:kern w:val="0"/>
          <w:sz w:val="32"/>
          <w:szCs w:val="32"/>
          <w:lang w:val="en-US" w:eastAsia="zh-CN"/>
        </w:rPr>
        <w:t>252.22万元</w:t>
      </w:r>
      <w:r>
        <w:rPr>
          <w:rFonts w:hint="eastAsia" w:ascii="仿宋" w:hAnsi="仿宋" w:eastAsia="仿宋_GB2312" w:cs="TimesNewRoman"/>
          <w:kern w:val="0"/>
          <w:sz w:val="32"/>
          <w:szCs w:val="32"/>
        </w:rPr>
        <w:t>、津贴补贴</w:t>
      </w:r>
      <w:r>
        <w:rPr>
          <w:rFonts w:hint="eastAsia" w:ascii="仿宋" w:hAnsi="仿宋" w:eastAsia="仿宋_GB2312" w:cs="TimesNewRoman"/>
          <w:kern w:val="0"/>
          <w:sz w:val="32"/>
          <w:szCs w:val="32"/>
          <w:lang w:val="en-US" w:eastAsia="zh-CN"/>
        </w:rPr>
        <w:t>248.19万元</w:t>
      </w:r>
      <w:r>
        <w:rPr>
          <w:rFonts w:hint="eastAsia" w:ascii="仿宋" w:hAnsi="仿宋" w:eastAsia="仿宋_GB2312" w:cs="TimesNewRoman"/>
          <w:kern w:val="0"/>
          <w:sz w:val="32"/>
          <w:szCs w:val="32"/>
        </w:rPr>
        <w:t>、奖金</w:t>
      </w:r>
      <w:r>
        <w:rPr>
          <w:rFonts w:hint="eastAsia" w:ascii="仿宋" w:hAnsi="仿宋" w:eastAsia="仿宋_GB2312" w:cs="TimesNewRoman"/>
          <w:kern w:val="0"/>
          <w:sz w:val="32"/>
          <w:szCs w:val="32"/>
          <w:lang w:val="en-US" w:eastAsia="zh-CN"/>
        </w:rPr>
        <w:t>19.59万元</w:t>
      </w:r>
      <w:r>
        <w:rPr>
          <w:rFonts w:hint="eastAsia" w:ascii="仿宋" w:hAnsi="仿宋" w:eastAsia="仿宋_GB2312" w:cs="TimesNewRoman"/>
          <w:kern w:val="0"/>
          <w:sz w:val="32"/>
          <w:szCs w:val="32"/>
        </w:rPr>
        <w:t>、绩效工资</w:t>
      </w:r>
      <w:r>
        <w:rPr>
          <w:rFonts w:hint="eastAsia" w:ascii="仿宋" w:hAnsi="仿宋" w:eastAsia="仿宋_GB2312" w:cs="TimesNewRoman"/>
          <w:kern w:val="0"/>
          <w:sz w:val="32"/>
          <w:szCs w:val="32"/>
          <w:lang w:val="en-US" w:eastAsia="zh-CN"/>
        </w:rPr>
        <w:t>127.12万元</w:t>
      </w:r>
      <w:r>
        <w:rPr>
          <w:rFonts w:hint="eastAsia" w:ascii="仿宋" w:hAnsi="仿宋" w:eastAsia="仿宋_GB2312" w:cs="TimesNewRoman"/>
          <w:kern w:val="0"/>
          <w:sz w:val="32"/>
          <w:szCs w:val="32"/>
        </w:rPr>
        <w:t>、机关事业单位基本养老保险费</w:t>
      </w:r>
      <w:r>
        <w:rPr>
          <w:rFonts w:hint="eastAsia" w:ascii="仿宋" w:hAnsi="仿宋" w:eastAsia="仿宋_GB2312" w:cs="TimesNewRoman"/>
          <w:kern w:val="0"/>
          <w:sz w:val="32"/>
          <w:szCs w:val="32"/>
          <w:lang w:val="en-US" w:eastAsia="zh-CN"/>
        </w:rPr>
        <w:t>98.01万元</w:t>
      </w:r>
      <w:r>
        <w:rPr>
          <w:rFonts w:hint="eastAsia" w:ascii="仿宋" w:hAnsi="仿宋" w:eastAsia="仿宋_GB2312" w:cs="TimesNewRoman"/>
          <w:kern w:val="0"/>
          <w:sz w:val="32"/>
          <w:szCs w:val="32"/>
        </w:rPr>
        <w:t>、职业年金缴费</w:t>
      </w:r>
      <w:r>
        <w:rPr>
          <w:rFonts w:hint="eastAsia" w:ascii="仿宋" w:hAnsi="仿宋" w:eastAsia="仿宋_GB2312" w:cs="TimesNewRoman"/>
          <w:kern w:val="0"/>
          <w:sz w:val="32"/>
          <w:szCs w:val="32"/>
          <w:lang w:val="en-US" w:eastAsia="zh-CN"/>
        </w:rPr>
        <w:t>49.01万元</w:t>
      </w:r>
      <w:r>
        <w:rPr>
          <w:rFonts w:hint="eastAsia" w:ascii="仿宋" w:hAnsi="仿宋" w:eastAsia="仿宋_GB2312" w:cs="TimesNewRoman"/>
          <w:kern w:val="0"/>
          <w:sz w:val="32"/>
          <w:szCs w:val="32"/>
        </w:rPr>
        <w:t>、职工基本医疗保险缴费</w:t>
      </w:r>
      <w:r>
        <w:rPr>
          <w:rFonts w:hint="eastAsia" w:ascii="仿宋" w:hAnsi="仿宋" w:eastAsia="仿宋_GB2312" w:cs="TimesNewRoman"/>
          <w:kern w:val="0"/>
          <w:sz w:val="32"/>
          <w:szCs w:val="32"/>
          <w:lang w:val="en-US" w:eastAsia="zh-CN"/>
        </w:rPr>
        <w:t>38.52万元</w:t>
      </w:r>
      <w:r>
        <w:rPr>
          <w:rFonts w:hint="eastAsia" w:ascii="仿宋" w:hAnsi="仿宋" w:eastAsia="仿宋_GB2312" w:cs="TimesNewRoman"/>
          <w:kern w:val="0"/>
          <w:sz w:val="32"/>
          <w:szCs w:val="32"/>
        </w:rPr>
        <w:t>、公务员医疗补助缴费</w:t>
      </w:r>
      <w:r>
        <w:rPr>
          <w:rFonts w:hint="eastAsia" w:ascii="仿宋" w:hAnsi="仿宋" w:eastAsia="仿宋_GB2312" w:cs="TimesNewRoman"/>
          <w:kern w:val="0"/>
          <w:sz w:val="32"/>
          <w:szCs w:val="32"/>
          <w:lang w:val="en-US" w:eastAsia="zh-CN"/>
        </w:rPr>
        <w:t>13.76万元</w:t>
      </w:r>
      <w:r>
        <w:rPr>
          <w:rFonts w:hint="eastAsia" w:ascii="仿宋" w:hAnsi="仿宋" w:eastAsia="仿宋_GB2312" w:cs="TimesNewRoman"/>
          <w:kern w:val="0"/>
          <w:sz w:val="32"/>
          <w:szCs w:val="32"/>
        </w:rPr>
        <w:t>、其他社会保障缴费</w:t>
      </w:r>
      <w:r>
        <w:rPr>
          <w:rFonts w:hint="eastAsia" w:ascii="仿宋" w:hAnsi="仿宋" w:eastAsia="仿宋_GB2312" w:cs="TimesNewRoman"/>
          <w:kern w:val="0"/>
          <w:sz w:val="32"/>
          <w:szCs w:val="32"/>
          <w:lang w:val="en-US" w:eastAsia="zh-CN"/>
        </w:rPr>
        <w:t>1.7万元</w:t>
      </w:r>
      <w:r>
        <w:rPr>
          <w:rFonts w:hint="eastAsia" w:ascii="仿宋" w:hAnsi="仿宋" w:eastAsia="仿宋_GB2312" w:cs="TimesNewRoman"/>
          <w:kern w:val="0"/>
          <w:sz w:val="32"/>
          <w:szCs w:val="32"/>
        </w:rPr>
        <w:t>、工会经费</w:t>
      </w:r>
      <w:r>
        <w:rPr>
          <w:rFonts w:hint="eastAsia" w:ascii="仿宋" w:hAnsi="仿宋" w:eastAsia="仿宋_GB2312" w:cs="TimesNewRoman"/>
          <w:kern w:val="0"/>
          <w:sz w:val="32"/>
          <w:szCs w:val="32"/>
          <w:lang w:val="en-US" w:eastAsia="zh-CN"/>
        </w:rPr>
        <w:t>9.18万元</w:t>
      </w:r>
      <w:r>
        <w:rPr>
          <w:rFonts w:hint="eastAsia" w:ascii="仿宋" w:hAnsi="仿宋" w:eastAsia="仿宋_GB2312" w:cs="TimesNewRoman"/>
          <w:kern w:val="0"/>
          <w:sz w:val="32"/>
          <w:szCs w:val="32"/>
        </w:rPr>
        <w:t>、福利费</w:t>
      </w:r>
      <w:r>
        <w:rPr>
          <w:rFonts w:hint="eastAsia" w:ascii="仿宋" w:hAnsi="仿宋" w:eastAsia="仿宋_GB2312" w:cs="TimesNewRoman"/>
          <w:kern w:val="0"/>
          <w:sz w:val="32"/>
          <w:szCs w:val="32"/>
          <w:lang w:val="en-US" w:eastAsia="zh-CN"/>
        </w:rPr>
        <w:t>0.46万元</w:t>
      </w:r>
      <w:r>
        <w:rPr>
          <w:rFonts w:hint="eastAsia" w:ascii="仿宋" w:hAnsi="仿宋" w:eastAsia="仿宋_GB2312" w:cs="TimesNewRoman"/>
          <w:kern w:val="0"/>
          <w:sz w:val="32"/>
          <w:szCs w:val="32"/>
        </w:rPr>
        <w:t>、住房公积金</w:t>
      </w:r>
      <w:r>
        <w:rPr>
          <w:rFonts w:hint="eastAsia" w:ascii="仿宋" w:hAnsi="仿宋" w:eastAsia="仿宋_GB2312" w:cs="TimesNewRoman"/>
          <w:kern w:val="0"/>
          <w:sz w:val="32"/>
          <w:szCs w:val="32"/>
          <w:lang w:val="en-US" w:eastAsia="zh-CN"/>
        </w:rPr>
        <w:t>94.21万元</w:t>
      </w:r>
      <w:r>
        <w:rPr>
          <w:rFonts w:hint="eastAsia" w:ascii="仿宋" w:hAnsi="仿宋" w:eastAsia="仿宋_GB2312" w:cs="TimesNewRoman"/>
          <w:kern w:val="0"/>
          <w:sz w:val="32"/>
          <w:szCs w:val="32"/>
        </w:rPr>
        <w:t>、其他工资福利支出</w:t>
      </w:r>
      <w:r>
        <w:rPr>
          <w:rFonts w:hint="eastAsia" w:ascii="仿宋" w:hAnsi="仿宋" w:eastAsia="仿宋_GB2312" w:cs="TimesNewRoman"/>
          <w:kern w:val="0"/>
          <w:sz w:val="32"/>
          <w:szCs w:val="32"/>
          <w:lang w:val="en-US" w:eastAsia="zh-CN"/>
        </w:rPr>
        <w:t>2.64万元</w:t>
      </w:r>
      <w:r>
        <w:rPr>
          <w:rFonts w:hint="eastAsia" w:ascii="仿宋" w:hAnsi="仿宋" w:eastAsia="仿宋_GB2312" w:cs="TimesNewRoman"/>
          <w:kern w:val="0"/>
          <w:sz w:val="32"/>
          <w:szCs w:val="32"/>
        </w:rPr>
        <w:t>、离休费</w:t>
      </w:r>
      <w:r>
        <w:rPr>
          <w:rFonts w:hint="eastAsia" w:ascii="仿宋" w:hAnsi="仿宋" w:eastAsia="仿宋_GB2312" w:cs="TimesNewRoman"/>
          <w:kern w:val="0"/>
          <w:sz w:val="32"/>
          <w:szCs w:val="32"/>
          <w:lang w:val="en-US" w:eastAsia="zh-CN"/>
        </w:rPr>
        <w:t>24.92万元</w:t>
      </w:r>
      <w:r>
        <w:rPr>
          <w:rFonts w:hint="eastAsia" w:ascii="仿宋" w:hAnsi="仿宋" w:eastAsia="仿宋_GB2312" w:cs="TimesNewRoman"/>
          <w:kern w:val="0"/>
          <w:sz w:val="32"/>
          <w:szCs w:val="32"/>
        </w:rPr>
        <w:t>、生活补助</w:t>
      </w:r>
      <w:r>
        <w:rPr>
          <w:rFonts w:hint="eastAsia" w:ascii="仿宋" w:hAnsi="仿宋" w:eastAsia="仿宋_GB2312" w:cs="TimesNewRoman"/>
          <w:kern w:val="0"/>
          <w:sz w:val="32"/>
          <w:szCs w:val="32"/>
          <w:lang w:val="en-US" w:eastAsia="zh-CN"/>
        </w:rPr>
        <w:t>1.8万元</w:t>
      </w:r>
      <w:r>
        <w:rPr>
          <w:rFonts w:hint="eastAsia" w:ascii="仿宋" w:hAnsi="仿宋" w:eastAsia="仿宋_GB2312" w:cs="TimesNewRoman"/>
          <w:kern w:val="0"/>
          <w:sz w:val="32"/>
          <w:szCs w:val="32"/>
        </w:rPr>
        <w:t>、医疗费补助</w:t>
      </w:r>
      <w:r>
        <w:rPr>
          <w:rFonts w:hint="eastAsia" w:ascii="仿宋" w:hAnsi="仿宋" w:eastAsia="仿宋_GB2312" w:cs="TimesNewRoman"/>
          <w:kern w:val="0"/>
          <w:sz w:val="32"/>
          <w:szCs w:val="32"/>
          <w:lang w:val="en-US" w:eastAsia="zh-CN"/>
        </w:rPr>
        <w:t>9.10万元</w:t>
      </w:r>
      <w:r>
        <w:rPr>
          <w:rFonts w:hint="eastAsia" w:ascii="仿宋" w:hAnsi="仿宋" w:eastAsia="仿宋_GB2312" w:cs="TimesNewRoman"/>
          <w:kern w:val="0"/>
          <w:sz w:val="32"/>
          <w:szCs w:val="32"/>
        </w:rPr>
        <w:t>、对其他个人和家庭的补助支出</w:t>
      </w:r>
      <w:r>
        <w:rPr>
          <w:rFonts w:hint="eastAsia" w:ascii="仿宋" w:hAnsi="仿宋" w:eastAsia="仿宋_GB2312" w:cs="TimesNewRoman"/>
          <w:kern w:val="0"/>
          <w:sz w:val="32"/>
          <w:szCs w:val="32"/>
          <w:lang w:val="en-US" w:eastAsia="zh-CN"/>
        </w:rPr>
        <w:t>40.75万元</w:t>
      </w:r>
      <w:r>
        <w:rPr>
          <w:rFonts w:hint="eastAsia" w:ascii="仿宋" w:hAnsi="仿宋" w:eastAsia="仿宋_GB2312" w:cs="TimesNewRoman"/>
          <w:kern w:val="0"/>
          <w:sz w:val="32"/>
          <w:szCs w:val="32"/>
        </w:rPr>
        <w:t>。</w:t>
      </w:r>
    </w:p>
    <w:p>
      <w:pPr>
        <w:ind w:firstLine="642" w:firstLineChars="200"/>
        <w:rPr>
          <w:rFonts w:ascii="仿宋" w:hAnsi="仿宋" w:eastAsia="仿宋_GB2312" w:cs="TimesNewRoman"/>
          <w:kern w:val="0"/>
          <w:sz w:val="32"/>
          <w:szCs w:val="32"/>
        </w:rPr>
      </w:pPr>
      <w:r>
        <w:rPr>
          <w:rFonts w:hint="eastAsia" w:ascii="仿宋" w:hAnsi="仿宋" w:eastAsia="仿宋_GB2312" w:cs="TimesNewRoman"/>
          <w:b/>
          <w:kern w:val="0"/>
          <w:sz w:val="32"/>
          <w:szCs w:val="32"/>
        </w:rPr>
        <w:t>（二）公用经费</w:t>
      </w:r>
      <w:r>
        <w:rPr>
          <w:rFonts w:hint="eastAsia" w:ascii="仿宋" w:hAnsi="仿宋" w:eastAsia="仿宋_GB2312" w:cs="TimesNewRoman"/>
          <w:kern w:val="0"/>
          <w:sz w:val="32"/>
          <w:szCs w:val="32"/>
        </w:rPr>
        <w:t>132.14</w:t>
      </w:r>
      <w:r>
        <w:rPr>
          <w:rFonts w:hint="eastAsia" w:ascii="仿宋" w:hAnsi="仿宋" w:eastAsia="仿宋_GB2312" w:cs="TimesNewRoman"/>
          <w:b/>
          <w:kern w:val="0"/>
          <w:sz w:val="32"/>
          <w:szCs w:val="32"/>
        </w:rPr>
        <w:t>万元，</w:t>
      </w:r>
      <w:r>
        <w:rPr>
          <w:rFonts w:hint="eastAsia" w:ascii="仿宋" w:hAnsi="仿宋" w:eastAsia="仿宋_GB2312" w:cs="TimesNewRoman"/>
          <w:kern w:val="0"/>
          <w:sz w:val="32"/>
          <w:szCs w:val="32"/>
        </w:rPr>
        <w:t>主要包括：办公费</w:t>
      </w:r>
      <w:r>
        <w:rPr>
          <w:rFonts w:hint="eastAsia" w:ascii="仿宋" w:hAnsi="仿宋" w:eastAsia="仿宋_GB2312" w:cs="TimesNewRoman"/>
          <w:kern w:val="0"/>
          <w:sz w:val="32"/>
          <w:szCs w:val="32"/>
          <w:lang w:val="en-US" w:eastAsia="zh-CN"/>
        </w:rPr>
        <w:t>24.09万元</w:t>
      </w:r>
      <w:r>
        <w:rPr>
          <w:rFonts w:hint="eastAsia" w:ascii="仿宋" w:hAnsi="仿宋" w:eastAsia="仿宋_GB2312" w:cs="TimesNewRoman"/>
          <w:kern w:val="0"/>
          <w:sz w:val="32"/>
          <w:szCs w:val="32"/>
        </w:rPr>
        <w:t>、差旅费</w:t>
      </w:r>
      <w:r>
        <w:rPr>
          <w:rFonts w:hint="eastAsia" w:ascii="仿宋" w:hAnsi="仿宋" w:eastAsia="仿宋_GB2312" w:cs="TimesNewRoman"/>
          <w:kern w:val="0"/>
          <w:sz w:val="32"/>
          <w:szCs w:val="32"/>
          <w:lang w:val="en-US" w:eastAsia="zh-CN"/>
        </w:rPr>
        <w:t>1万元</w:t>
      </w:r>
      <w:r>
        <w:rPr>
          <w:rFonts w:hint="eastAsia" w:ascii="仿宋" w:hAnsi="仿宋" w:eastAsia="仿宋_GB2312" w:cs="TimesNewRoman"/>
          <w:kern w:val="0"/>
          <w:sz w:val="32"/>
          <w:szCs w:val="32"/>
        </w:rPr>
        <w:t>、公务接待费</w:t>
      </w:r>
      <w:r>
        <w:rPr>
          <w:rFonts w:hint="eastAsia" w:ascii="仿宋" w:hAnsi="仿宋" w:eastAsia="仿宋_GB2312" w:cs="TimesNewRoman"/>
          <w:kern w:val="0"/>
          <w:sz w:val="32"/>
          <w:szCs w:val="32"/>
          <w:lang w:val="en-US" w:eastAsia="zh-CN"/>
        </w:rPr>
        <w:t>8.4万元</w:t>
      </w:r>
      <w:r>
        <w:rPr>
          <w:rFonts w:hint="eastAsia" w:ascii="仿宋" w:hAnsi="仿宋" w:eastAsia="仿宋_GB2312" w:cs="TimesNewRoman"/>
          <w:kern w:val="0"/>
          <w:sz w:val="32"/>
          <w:szCs w:val="32"/>
        </w:rPr>
        <w:t>、劳务费</w:t>
      </w:r>
      <w:r>
        <w:rPr>
          <w:rFonts w:hint="eastAsia" w:ascii="仿宋" w:hAnsi="仿宋" w:eastAsia="仿宋_GB2312" w:cs="TimesNewRoman"/>
          <w:kern w:val="0"/>
          <w:sz w:val="32"/>
          <w:szCs w:val="32"/>
          <w:lang w:val="en-US" w:eastAsia="zh-CN"/>
        </w:rPr>
        <w:t>10万万元</w:t>
      </w:r>
      <w:r>
        <w:rPr>
          <w:rFonts w:hint="eastAsia" w:ascii="仿宋" w:hAnsi="仿宋" w:eastAsia="仿宋_GB2312" w:cs="TimesNewRoman"/>
          <w:kern w:val="0"/>
          <w:sz w:val="32"/>
          <w:szCs w:val="32"/>
        </w:rPr>
        <w:t>、公务用车运行维护费</w:t>
      </w:r>
      <w:r>
        <w:rPr>
          <w:rFonts w:hint="eastAsia" w:ascii="仿宋" w:hAnsi="仿宋" w:eastAsia="仿宋_GB2312" w:cs="TimesNewRoman"/>
          <w:kern w:val="0"/>
          <w:sz w:val="32"/>
          <w:szCs w:val="32"/>
          <w:lang w:val="en-US" w:eastAsia="zh-CN"/>
        </w:rPr>
        <w:t>12万元</w:t>
      </w:r>
      <w:r>
        <w:rPr>
          <w:rFonts w:hint="eastAsia" w:ascii="仿宋" w:hAnsi="仿宋" w:eastAsia="仿宋_GB2312" w:cs="TimesNewRoman"/>
          <w:kern w:val="0"/>
          <w:sz w:val="32"/>
          <w:szCs w:val="32"/>
        </w:rPr>
        <w:t>、其他交通费用</w:t>
      </w:r>
      <w:r>
        <w:rPr>
          <w:rFonts w:hint="eastAsia" w:ascii="仿宋" w:hAnsi="仿宋" w:eastAsia="仿宋_GB2312" w:cs="TimesNewRoman"/>
          <w:kern w:val="0"/>
          <w:sz w:val="32"/>
          <w:szCs w:val="32"/>
          <w:lang w:val="en-US" w:eastAsia="zh-CN"/>
        </w:rPr>
        <w:t>29.15万元</w:t>
      </w:r>
      <w:r>
        <w:rPr>
          <w:rFonts w:hint="eastAsia" w:ascii="仿宋" w:hAnsi="仿宋" w:eastAsia="仿宋_GB2312" w:cs="TimesNewRoman"/>
          <w:kern w:val="0"/>
          <w:sz w:val="32"/>
          <w:szCs w:val="32"/>
        </w:rPr>
        <w:t>、其他商品服务支出</w:t>
      </w:r>
      <w:r>
        <w:rPr>
          <w:rFonts w:hint="eastAsia" w:ascii="仿宋" w:hAnsi="仿宋" w:eastAsia="仿宋_GB2312" w:cs="TimesNewRoman"/>
          <w:kern w:val="0"/>
          <w:sz w:val="32"/>
          <w:szCs w:val="32"/>
          <w:lang w:val="en-US" w:eastAsia="zh-CN"/>
        </w:rPr>
        <w:t>72.82万元。</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七、关于2024年政府性基金预算支出表的说明</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淮北市司法局2024年没有政府性基金预算拨款收入，也没有使用政府性基金预算拨款安排的支出。</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八、关于2024年国有资本经营预算支出表的说明</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淮北市司法局2024年没有国有资本经营预算拨款收入，也没有使用国有资本经营预算拨款安排的支出。</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九、关于2024年项目支出表的说明</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淮北市司法局2024年预算共安排项目支出403.44万元，比2023年预算增加94.62万元，增长30.64%，原因主要是国家法律职业考试,仲裁委项目预算安排增加。主要包括：本年财政拨款安排403.44万元</w:t>
      </w:r>
      <w:r>
        <w:rPr>
          <w:rFonts w:hint="eastAsia" w:ascii="仿宋" w:hAnsi="仿宋" w:eastAsia="仿宋_GB2312" w:cs="TimesNewRoman"/>
          <w:kern w:val="0"/>
          <w:sz w:val="32"/>
          <w:szCs w:val="32"/>
          <w:lang w:eastAsia="zh-CN"/>
        </w:rPr>
        <w:t>，</w:t>
      </w:r>
      <w:r>
        <w:rPr>
          <w:rFonts w:hint="eastAsia" w:ascii="仿宋" w:hAnsi="仿宋" w:eastAsia="仿宋_GB2312" w:cs="TimesNewRoman"/>
          <w:kern w:val="0"/>
          <w:sz w:val="32"/>
          <w:szCs w:val="32"/>
        </w:rPr>
        <w:t>其中，一般公共预算拨款安排403.44万元，</w:t>
      </w:r>
      <w:r>
        <w:rPr>
          <w:rFonts w:hint="eastAsia" w:ascii="仿宋" w:hAnsi="仿宋" w:eastAsia="仿宋_GB2312" w:cs="TimesNewRoman"/>
          <w:kern w:val="0"/>
          <w:sz w:val="32"/>
          <w:szCs w:val="32"/>
          <w:lang w:eastAsia="zh-CN"/>
        </w:rPr>
        <w:t>占</w:t>
      </w:r>
      <w:r>
        <w:rPr>
          <w:rFonts w:hint="eastAsia" w:ascii="仿宋" w:hAnsi="仿宋" w:eastAsia="仿宋_GB2312" w:cs="TimesNewRoman"/>
          <w:kern w:val="0"/>
          <w:sz w:val="32"/>
          <w:szCs w:val="32"/>
          <w:lang w:val="en-US" w:eastAsia="zh-CN"/>
        </w:rPr>
        <w:t>100%，</w:t>
      </w:r>
      <w:r>
        <w:rPr>
          <w:rFonts w:hint="eastAsia" w:ascii="仿宋" w:hAnsi="仿宋" w:eastAsia="仿宋_GB2312" w:cs="TimesNewRoman"/>
          <w:kern w:val="0"/>
          <w:sz w:val="32"/>
          <w:szCs w:val="32"/>
        </w:rPr>
        <w:t>政府性基金预算拨款安排0万元，</w:t>
      </w:r>
      <w:r>
        <w:rPr>
          <w:rFonts w:hint="eastAsia" w:ascii="仿宋" w:hAnsi="仿宋" w:eastAsia="仿宋_GB2312" w:cs="TimesNewRoman"/>
          <w:kern w:val="0"/>
          <w:sz w:val="32"/>
          <w:szCs w:val="32"/>
          <w:lang w:eastAsia="zh-CN"/>
        </w:rPr>
        <w:t>占</w:t>
      </w:r>
      <w:r>
        <w:rPr>
          <w:rFonts w:hint="eastAsia" w:ascii="仿宋" w:hAnsi="仿宋" w:eastAsia="仿宋_GB2312" w:cs="TimesNewRoman"/>
          <w:kern w:val="0"/>
          <w:sz w:val="32"/>
          <w:szCs w:val="32"/>
          <w:lang w:val="en-US" w:eastAsia="zh-CN"/>
        </w:rPr>
        <w:t>0%，</w:t>
      </w:r>
      <w:r>
        <w:rPr>
          <w:rFonts w:hint="eastAsia" w:ascii="仿宋" w:hAnsi="仿宋" w:eastAsia="仿宋_GB2312" w:cs="TimesNewRoman"/>
          <w:kern w:val="0"/>
          <w:sz w:val="32"/>
          <w:szCs w:val="32"/>
        </w:rPr>
        <w:t>财政专户管理资金安排0万元</w:t>
      </w:r>
      <w:r>
        <w:rPr>
          <w:rFonts w:hint="eastAsia" w:ascii="仿宋" w:hAnsi="仿宋" w:eastAsia="仿宋_GB2312" w:cs="TimesNewRoman"/>
          <w:kern w:val="0"/>
          <w:sz w:val="32"/>
          <w:szCs w:val="32"/>
          <w:lang w:eastAsia="zh-CN"/>
        </w:rPr>
        <w:t>，占</w:t>
      </w:r>
      <w:r>
        <w:rPr>
          <w:rFonts w:hint="eastAsia" w:ascii="仿宋" w:hAnsi="仿宋" w:eastAsia="仿宋_GB2312" w:cs="TimesNewRoman"/>
          <w:kern w:val="0"/>
          <w:sz w:val="32"/>
          <w:szCs w:val="32"/>
          <w:lang w:val="en-US" w:eastAsia="zh-CN"/>
        </w:rPr>
        <w:t>0%</w:t>
      </w:r>
      <w:r>
        <w:rPr>
          <w:rFonts w:hint="eastAsia" w:ascii="仿宋" w:hAnsi="仿宋" w:eastAsia="仿宋_GB2312" w:cs="TimesNewRoman"/>
          <w:kern w:val="0"/>
          <w:sz w:val="32"/>
          <w:szCs w:val="32"/>
        </w:rPr>
        <w:t>。</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十、关于2024年政府采购支出表的说明</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部门）2024年预算安排政府采购支出6.02万元，比2023年预算减少14.46万元，减少70.61%，原因主要是本年预算安排购置空调等设备较去年减少。其中，一般公共预算安排6.02万元，占100%；政府性基金预算安排0万元，占0%；财政专户管理资金安排0万元，占0%。</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十一、关于2024年政府购买服务支出表的说明</w:t>
      </w:r>
    </w:p>
    <w:p>
      <w:pPr>
        <w:ind w:firstLine="640" w:firstLineChars="200"/>
        <w:rPr>
          <w:rFonts w:hint="eastAsia" w:ascii="仿宋" w:hAnsi="仿宋" w:eastAsia="仿宋_GB2312" w:cs="TimesNewRoman"/>
          <w:kern w:val="0"/>
          <w:sz w:val="32"/>
          <w:szCs w:val="32"/>
          <w:lang w:eastAsia="zh-CN"/>
        </w:rPr>
      </w:pPr>
      <w:r>
        <w:rPr>
          <w:rFonts w:hint="eastAsia" w:ascii="仿宋" w:hAnsi="仿宋" w:eastAsia="仿宋_GB2312" w:cs="TimesNewRoman"/>
          <w:kern w:val="0"/>
          <w:sz w:val="32"/>
          <w:szCs w:val="32"/>
        </w:rPr>
        <w:t>淮北市司法局2024年预算安排政府购买服务支出19万元，主要用于法律顾问服务</w:t>
      </w:r>
      <w:r>
        <w:rPr>
          <w:rFonts w:hint="eastAsia" w:ascii="仿宋" w:hAnsi="仿宋" w:eastAsia="仿宋_GB2312" w:cs="TimesNewRoman"/>
          <w:kern w:val="0"/>
          <w:sz w:val="32"/>
          <w:szCs w:val="32"/>
          <w:lang w:eastAsia="zh-CN"/>
        </w:rPr>
        <w:t>，比</w:t>
      </w:r>
      <w:r>
        <w:rPr>
          <w:rFonts w:hint="eastAsia" w:ascii="仿宋" w:hAnsi="仿宋" w:eastAsia="仿宋_GB2312" w:cs="TimesNewRoman"/>
          <w:kern w:val="0"/>
          <w:sz w:val="32"/>
          <w:szCs w:val="32"/>
          <w:lang w:val="en-US" w:eastAsia="zh-CN"/>
        </w:rPr>
        <w:t>2023年增长0万元</w:t>
      </w:r>
      <w:r>
        <w:rPr>
          <w:rFonts w:hint="eastAsia" w:ascii="仿宋" w:hAnsi="仿宋" w:eastAsia="仿宋_GB2312" w:cs="TimesNewRoman"/>
          <w:kern w:val="0"/>
          <w:sz w:val="32"/>
          <w:szCs w:val="32"/>
        </w:rPr>
        <w:t>，</w:t>
      </w:r>
      <w:r>
        <w:rPr>
          <w:rFonts w:hint="eastAsia" w:ascii="仿宋" w:hAnsi="仿宋" w:eastAsia="仿宋_GB2312" w:cs="TimesNewRoman"/>
          <w:kern w:val="0"/>
          <w:sz w:val="32"/>
          <w:szCs w:val="32"/>
          <w:lang w:eastAsia="zh-CN"/>
        </w:rPr>
        <w:t>增长</w:t>
      </w:r>
      <w:r>
        <w:rPr>
          <w:rFonts w:hint="eastAsia" w:ascii="仿宋" w:hAnsi="仿宋" w:eastAsia="仿宋_GB2312" w:cs="TimesNewRoman"/>
          <w:kern w:val="0"/>
          <w:sz w:val="32"/>
          <w:szCs w:val="32"/>
          <w:lang w:val="en-US" w:eastAsia="zh-CN"/>
        </w:rPr>
        <w:t>0%，</w:t>
      </w:r>
      <w:r>
        <w:rPr>
          <w:rFonts w:hint="eastAsia" w:ascii="仿宋" w:hAnsi="仿宋" w:eastAsia="仿宋_GB2312" w:cs="TimesNewRoman"/>
          <w:kern w:val="0"/>
          <w:sz w:val="32"/>
          <w:szCs w:val="32"/>
          <w:lang w:eastAsia="zh-CN"/>
        </w:rPr>
        <w:t>原因是增长无变化。</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十二、其他重要事项情况说明</w:t>
      </w:r>
    </w:p>
    <w:p>
      <w:pPr>
        <w:adjustRightInd w:val="0"/>
        <w:snapToGrid w:val="0"/>
        <w:spacing w:line="58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（一）项目及绩效目标情况。</w:t>
      </w:r>
    </w:p>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1.“普法和法治文化建设”项目。</w:t>
      </w:r>
    </w:p>
    <w:p>
      <w:pPr>
        <w:ind w:firstLine="640" w:firstLineChars="200"/>
        <w:rPr>
          <w:rFonts w:ascii="仿宋_GB2312" w:hAnsi="仿宋" w:eastAsia="仿宋_GB2312"/>
          <w:sz w:val="32"/>
          <w:szCs w:val="32"/>
        </w:rPr>
      </w:pPr>
      <w:r>
        <w:rPr>
          <w:rFonts w:hint="eastAsia" w:ascii="仿宋_GB2312" w:hAnsi="楷体" w:eastAsia="仿宋_GB2312"/>
          <w:sz w:val="32"/>
          <w:szCs w:val="32"/>
        </w:rPr>
        <w:t>（1）项目概述。</w:t>
      </w:r>
      <w:r>
        <w:rPr>
          <w:rFonts w:hint="eastAsia" w:ascii="仿宋_GB2312" w:hAnsi="仿宋" w:eastAsia="仿宋_GB2312"/>
          <w:sz w:val="32"/>
          <w:szCs w:val="32"/>
        </w:rPr>
        <w:t>统筹谋划全市普法依法治理工作，组织制定淮北市法制宣传教育工作五年规划并组织实施、监督落实；部署、协调、推动社会主义法治文化建设；组织开展全市多层次邻域依法治理；组织推动实行国家机关将“谁执法谁普法”责任制等职能。</w:t>
      </w:r>
    </w:p>
    <w:p>
      <w:pPr>
        <w:ind w:firstLine="640" w:firstLineChars="200"/>
        <w:rPr>
          <w:rFonts w:ascii="仿宋_GB2312" w:hAnsi="仿宋" w:eastAsia="仿宋_GB2312"/>
          <w:sz w:val="32"/>
          <w:szCs w:val="32"/>
        </w:rPr>
      </w:pPr>
      <w:r>
        <w:rPr>
          <w:rFonts w:hint="eastAsia" w:ascii="仿宋_GB2312" w:hAnsi="楷体" w:eastAsia="仿宋_GB2312"/>
          <w:sz w:val="32"/>
          <w:szCs w:val="32"/>
        </w:rPr>
        <w:t>（2）立项依据。</w:t>
      </w:r>
      <w:r>
        <w:rPr>
          <w:rFonts w:hint="eastAsia" w:ascii="仿宋_GB2312" w:hAnsi="仿宋" w:eastAsia="仿宋_GB2312"/>
          <w:sz w:val="32"/>
          <w:szCs w:val="32"/>
        </w:rPr>
        <w:t>根据省市“七五”普法规划和《安徽省法制宣传教育条例》的规定，市级财政应按辖区人口数按每人每年不低于0.20元安排普法经费列入财政预算。根据我市七五普法规划和决议部署，决定深化我市开展法治文化建设，经过努力建立起具有我市特色的社会主义法治文化建设体系。</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《安徽省法制宣传教育条例》</w:t>
      </w:r>
      <w:r>
        <w:rPr>
          <w:rFonts w:hint="eastAsia" w:ascii="仿宋_GB2312" w:hAnsi="仿宋" w:eastAsia="仿宋_GB2312"/>
          <w:sz w:val="32"/>
          <w:szCs w:val="32"/>
        </w:rPr>
        <w:tab/>
      </w:r>
      <w:r>
        <w:rPr>
          <w:rFonts w:hint="eastAsia" w:ascii="仿宋_GB2312" w:hAnsi="仿宋" w:eastAsia="仿宋_GB2312"/>
          <w:sz w:val="32"/>
          <w:szCs w:val="32"/>
        </w:rPr>
        <w:t>《关于印发2016年安徽省法制宣传教育考核工作方案的通知》；中共安徽省委宣传部、安徽省精神文</w:t>
      </w:r>
      <w:r>
        <w:rPr>
          <w:rFonts w:hint="eastAsia" w:ascii="仿宋_GB2312" w:hAnsi="仿宋" w:eastAsia="仿宋_GB2312"/>
          <w:sz w:val="32"/>
          <w:szCs w:val="32"/>
          <w:lang w:eastAsia="zh-CN"/>
        </w:rPr>
        <w:t>明</w:t>
      </w:r>
      <w:bookmarkStart w:id="0" w:name="_GoBack"/>
      <w:bookmarkEnd w:id="0"/>
      <w:r>
        <w:rPr>
          <w:rFonts w:hint="eastAsia" w:ascii="仿宋_GB2312" w:hAnsi="仿宋" w:eastAsia="仿宋_GB2312"/>
          <w:sz w:val="32"/>
          <w:szCs w:val="32"/>
        </w:rPr>
        <w:t>建设指导委员会办公室、安徽省教育厅等八单位联合印发的《安徽省社会主义法治文化建设行动方案2017-2019年》；中共安徽省委宣传部、安徽省司法厅等五单位联合印发的《关于加强开展人民群众性法治文化活动的意见》</w:t>
      </w:r>
    </w:p>
    <w:p>
      <w:pPr>
        <w:numPr>
          <w:ilvl w:val="0"/>
          <w:numId w:val="2"/>
        </w:num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实施主体。淮北市司法局。</w:t>
      </w:r>
    </w:p>
    <w:p>
      <w:pPr>
        <w:numPr>
          <w:ilvl w:val="0"/>
          <w:numId w:val="2"/>
        </w:num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起止时间。</w:t>
      </w:r>
      <w:r>
        <w:rPr>
          <w:rFonts w:hint="eastAsia" w:ascii="仿宋_GB2312" w:hAnsi="仿宋" w:eastAsia="仿宋_GB2312"/>
          <w:sz w:val="32"/>
          <w:szCs w:val="32"/>
        </w:rPr>
        <w:t>2024年1-12月</w:t>
      </w:r>
    </w:p>
    <w:p>
      <w:pPr>
        <w:ind w:firstLine="640" w:firstLineChars="200"/>
        <w:rPr>
          <w:rFonts w:ascii="仿宋_GB2312" w:hAnsi="仿宋" w:eastAsia="仿宋_GB2312"/>
          <w:sz w:val="32"/>
          <w:szCs w:val="32"/>
        </w:rPr>
      </w:pPr>
      <w:r>
        <w:rPr>
          <w:rFonts w:hint="eastAsia" w:ascii="仿宋_GB2312" w:hAnsi="楷体" w:eastAsia="仿宋_GB2312"/>
          <w:sz w:val="32"/>
          <w:szCs w:val="32"/>
        </w:rPr>
        <w:t>（5）项目内容。</w:t>
      </w:r>
      <w:r>
        <w:rPr>
          <w:rFonts w:hint="eastAsia" w:ascii="仿宋_GB2312" w:hAnsi="仿宋" w:eastAsia="仿宋_GB2312"/>
          <w:sz w:val="32"/>
          <w:szCs w:val="32"/>
        </w:rPr>
        <w:t>为进一步加强我市普法宣传工作力度，根据数字递增的要求和普法工作任务重、工作量大的因素，提供充足的经费保障。2024年加强筋普法讲师团、普法志愿者建设，培育1支志愿者品牌，建立体验式普法模式。开展“法律六进”、“江淮普法行”、“法治道德讲堂”、“法治宣传教育基层行”等系列活动不断提升法制宣传工作的针对性和实效性。开展各项大型活动需印制各类宣传册、宣传页、宣传袋等印刷费；表彰全市法制宣传教育工作优秀信息员及各种大型会议费；法制文艺演出费用；日常公务出差、办公、网络维护以及各类培训，需将42.29万元列入2024年预算。强化普法工作力度，为经济发展创造良好的法治环境。市法治宣传教育工作领导小组办公室设在市司法局，承担着组织、协调、督查党中央、省、市有关普法依法治理重大决策部署的贯彻落实。</w:t>
      </w:r>
    </w:p>
    <w:p>
      <w:pPr>
        <w:spacing w:line="600" w:lineRule="exact"/>
        <w:ind w:firstLine="642"/>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仿宋" w:eastAsia="仿宋_GB2312"/>
          <w:sz w:val="32"/>
          <w:szCs w:val="32"/>
        </w:rPr>
        <w:t>42.29万元。</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8"/>
        <w:tblW w:w="0" w:type="auto"/>
        <w:tblInd w:w="93" w:type="dxa"/>
        <w:tblLayout w:type="fixed"/>
        <w:tblCellMar>
          <w:top w:w="0" w:type="dxa"/>
          <w:left w:w="108" w:type="dxa"/>
          <w:bottom w:w="0" w:type="dxa"/>
          <w:right w:w="108" w:type="dxa"/>
        </w:tblCellMar>
      </w:tblPr>
      <w:tblGrid>
        <w:gridCol w:w="416"/>
        <w:gridCol w:w="820"/>
        <w:gridCol w:w="940"/>
        <w:gridCol w:w="1380"/>
        <w:gridCol w:w="810"/>
        <w:gridCol w:w="855"/>
        <w:gridCol w:w="930"/>
        <w:gridCol w:w="1005"/>
        <w:gridCol w:w="720"/>
        <w:gridCol w:w="1144"/>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vAlign w:val="center"/>
          </w:tcPr>
          <w:p>
            <w:pPr>
              <w:rPr>
                <w:b/>
                <w:bCs/>
                <w:sz w:val="32"/>
                <w:szCs w:val="32"/>
              </w:rPr>
            </w:pPr>
          </w:p>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 w:val="20"/>
                <w:szCs w:val="20"/>
              </w:rPr>
            </w:pPr>
            <w:r>
              <w:rPr>
                <w:rFonts w:hint="eastAsia" w:ascii="宋体" w:hAnsi="宋体"/>
                <w:sz w:val="22"/>
              </w:rPr>
              <w:t>普法和法治文化建设</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s="宋体"/>
                <w:kern w:val="0"/>
                <w:sz w:val="22"/>
              </w:rPr>
              <w:t>淮北市司法局</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s="宋体"/>
                <w:kern w:val="0"/>
                <w:sz w:val="20"/>
                <w:szCs w:val="20"/>
              </w:rPr>
              <w:t>经常性项目</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38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中期资金总额：</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138　</w:t>
            </w:r>
          </w:p>
        </w:tc>
        <w:tc>
          <w:tcPr>
            <w:tcW w:w="2790" w:type="dxa"/>
            <w:gridSpan w:val="3"/>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年度资金总额：</w:t>
            </w:r>
          </w:p>
        </w:tc>
        <w:tc>
          <w:tcPr>
            <w:tcW w:w="1864" w:type="dxa"/>
            <w:gridSpan w:val="2"/>
            <w:tcBorders>
              <w:top w:val="single" w:color="auto" w:sz="4" w:space="0"/>
              <w:left w:val="nil"/>
              <w:bottom w:val="single" w:color="auto" w:sz="4" w:space="0"/>
              <w:right w:val="single" w:color="000000" w:sz="4" w:space="0"/>
            </w:tcBorders>
            <w:vAlign w:val="center"/>
          </w:tcPr>
          <w:p>
            <w:pPr>
              <w:jc w:val="center"/>
              <w:rPr>
                <w:rFonts w:ascii="宋体" w:hAnsi="宋体" w:eastAsia="宋体" w:cs="宋体"/>
                <w:sz w:val="20"/>
                <w:szCs w:val="20"/>
              </w:rPr>
            </w:pPr>
            <w:r>
              <w:rPr>
                <w:rFonts w:hint="eastAsia"/>
                <w:sz w:val="20"/>
                <w:szCs w:val="20"/>
              </w:rPr>
              <w:t>　42.29</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38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138　</w:t>
            </w:r>
          </w:p>
        </w:tc>
        <w:tc>
          <w:tcPr>
            <w:tcW w:w="2790" w:type="dxa"/>
            <w:gridSpan w:val="3"/>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1864"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42.29</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38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810" w:type="dxa"/>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c>
          <w:tcPr>
            <w:tcW w:w="2790" w:type="dxa"/>
            <w:gridSpan w:val="3"/>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1864"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3950" w:type="dxa"/>
            <w:gridSpan w:val="4"/>
            <w:tcBorders>
              <w:top w:val="single" w:color="auto" w:sz="4" w:space="0"/>
              <w:left w:val="nil"/>
              <w:bottom w:val="single" w:color="auto" w:sz="4" w:space="0"/>
              <w:right w:val="nil"/>
            </w:tcBorders>
            <w:vAlign w:val="center"/>
          </w:tcPr>
          <w:p>
            <w:pPr>
              <w:jc w:val="center"/>
              <w:rPr>
                <w:rFonts w:ascii="宋体" w:hAnsi="宋体" w:cs="宋体"/>
                <w:sz w:val="20"/>
                <w:szCs w:val="20"/>
              </w:rPr>
            </w:pPr>
            <w:r>
              <w:rPr>
                <w:rFonts w:hint="eastAsia"/>
                <w:sz w:val="20"/>
                <w:szCs w:val="20"/>
              </w:rPr>
              <w:t>中期目标（2023年—2025年）</w:t>
            </w:r>
          </w:p>
        </w:tc>
        <w:tc>
          <w:tcPr>
            <w:tcW w:w="4654" w:type="dxa"/>
            <w:gridSpan w:val="5"/>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2148"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3950" w:type="dxa"/>
            <w:gridSpan w:val="4"/>
            <w:tcBorders>
              <w:top w:val="single" w:color="auto" w:sz="4" w:space="0"/>
              <w:left w:val="nil"/>
              <w:bottom w:val="single" w:color="auto" w:sz="4" w:space="0"/>
              <w:right w:val="nil"/>
            </w:tcBorders>
          </w:tcPr>
          <w:p>
            <w:pPr>
              <w:rPr>
                <w:rFonts w:ascii="宋体" w:hAnsi="宋体" w:cs="宋体"/>
                <w:sz w:val="20"/>
                <w:szCs w:val="20"/>
              </w:rPr>
            </w:pPr>
            <w:r>
              <w:rPr>
                <w:rFonts w:hint="eastAsia"/>
                <w:sz w:val="20"/>
                <w:szCs w:val="20"/>
              </w:rPr>
              <w:t xml:space="preserve"> 目标1：</w:t>
            </w:r>
            <w:r>
              <w:rPr>
                <w:rFonts w:hint="eastAsia" w:ascii="宋体" w:hAnsi="宋体" w:eastAsia="宋体" w:cs="宋体"/>
                <w:kern w:val="0"/>
                <w:sz w:val="18"/>
                <w:szCs w:val="18"/>
              </w:rPr>
              <w:t>普法经费用于印制各类法治书籍、宣传手册、普法物品以及开展法治讲座等。</w:t>
            </w:r>
            <w:r>
              <w:rPr>
                <w:rFonts w:hint="eastAsia"/>
                <w:sz w:val="20"/>
                <w:szCs w:val="20"/>
              </w:rPr>
              <w:br w:type="textWrapping"/>
            </w:r>
          </w:p>
        </w:tc>
        <w:tc>
          <w:tcPr>
            <w:tcW w:w="4654" w:type="dxa"/>
            <w:gridSpan w:val="5"/>
            <w:tcBorders>
              <w:top w:val="single" w:color="auto" w:sz="4" w:space="0"/>
              <w:left w:val="single" w:color="auto" w:sz="4" w:space="0"/>
              <w:bottom w:val="single" w:color="auto" w:sz="4" w:space="0"/>
              <w:right w:val="single" w:color="000000" w:sz="4" w:space="0"/>
            </w:tcBorders>
          </w:tcPr>
          <w:p>
            <w:pPr>
              <w:rPr>
                <w:rFonts w:ascii="宋体" w:hAnsi="宋体" w:cs="宋体"/>
                <w:sz w:val="20"/>
                <w:szCs w:val="20"/>
              </w:rPr>
            </w:pPr>
            <w:r>
              <w:rPr>
                <w:rFonts w:hint="eastAsia"/>
                <w:sz w:val="20"/>
                <w:szCs w:val="20"/>
              </w:rPr>
              <w:t xml:space="preserve"> 目标1：</w:t>
            </w:r>
            <w:r>
              <w:rPr>
                <w:rFonts w:hint="eastAsia" w:ascii="宋体" w:hAnsi="宋体" w:eastAsia="宋体" w:cs="宋体"/>
                <w:kern w:val="0"/>
                <w:sz w:val="18"/>
                <w:szCs w:val="18"/>
              </w:rPr>
              <w:t>普法经费用于印制各类法治书籍、宣传手册、普法物品以及开展法治讲座等。</w:t>
            </w:r>
            <w:r>
              <w:rPr>
                <w:rFonts w:hint="eastAsia"/>
                <w:sz w:val="20"/>
                <w:szCs w:val="20"/>
              </w:rPr>
              <w:br w:type="textWrapping"/>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38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三级指标</w:t>
            </w:r>
          </w:p>
        </w:tc>
        <w:tc>
          <w:tcPr>
            <w:tcW w:w="81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855"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c>
          <w:tcPr>
            <w:tcW w:w="93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005" w:type="dxa"/>
            <w:tcBorders>
              <w:top w:val="nil"/>
              <w:left w:val="nil"/>
              <w:bottom w:val="single" w:color="auto" w:sz="4" w:space="0"/>
              <w:right w:val="nil"/>
            </w:tcBorders>
            <w:vAlign w:val="center"/>
          </w:tcPr>
          <w:p>
            <w:pPr>
              <w:jc w:val="center"/>
              <w:rPr>
                <w:rFonts w:ascii="宋体" w:hAnsi="宋体" w:cs="宋体"/>
                <w:sz w:val="20"/>
                <w:szCs w:val="20"/>
              </w:rPr>
            </w:pPr>
            <w:r>
              <w:rPr>
                <w:rFonts w:hint="eastAsia"/>
                <w:sz w:val="20"/>
                <w:szCs w:val="20"/>
              </w:rPr>
              <w:t>三级指标</w:t>
            </w:r>
          </w:p>
        </w:tc>
        <w:tc>
          <w:tcPr>
            <w:tcW w:w="720" w:type="dxa"/>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1144"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38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w:t>
            </w:r>
            <w:r>
              <w:rPr>
                <w:rFonts w:hint="eastAsia" w:ascii="宋体" w:hAnsi="宋体" w:eastAsia="宋体" w:cs="宋体"/>
                <w:color w:val="000000"/>
                <w:kern w:val="0"/>
                <w:sz w:val="18"/>
                <w:szCs w:val="18"/>
              </w:rPr>
              <w:t>指标1：法治书籍、宣传手册、普法物品印制</w:t>
            </w:r>
          </w:p>
        </w:tc>
        <w:tc>
          <w:tcPr>
            <w:tcW w:w="81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w:t>
            </w:r>
            <w:r>
              <w:rPr>
                <w:rFonts w:hint="eastAsia" w:ascii="宋体" w:hAnsi="宋体" w:eastAsia="宋体" w:cs="宋体"/>
                <w:color w:val="000000"/>
                <w:kern w:val="0"/>
                <w:sz w:val="18"/>
                <w:szCs w:val="18"/>
                <w:lang w:bidi="ar"/>
              </w:rPr>
              <w:t>普法书籍6万册、普法物品</w:t>
            </w:r>
          </w:p>
        </w:tc>
        <w:tc>
          <w:tcPr>
            <w:tcW w:w="855"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w:t>
            </w:r>
            <w:r>
              <w:rPr>
                <w:rFonts w:hint="eastAsia" w:ascii="宋体" w:hAnsi="宋体" w:eastAsia="宋体" w:cs="宋体"/>
                <w:color w:val="000000"/>
                <w:kern w:val="0"/>
                <w:sz w:val="18"/>
                <w:szCs w:val="18"/>
                <w:lang w:bidi="ar"/>
              </w:rPr>
              <w:t>普法书籍6万册、普法物品</w:t>
            </w:r>
          </w:p>
        </w:tc>
        <w:tc>
          <w:tcPr>
            <w:tcW w:w="93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005"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w:t>
            </w:r>
            <w:r>
              <w:rPr>
                <w:rFonts w:hint="eastAsia" w:ascii="宋体" w:hAnsi="宋体" w:eastAsia="宋体" w:cs="宋体"/>
                <w:color w:val="000000"/>
                <w:kern w:val="0"/>
                <w:sz w:val="18"/>
                <w:szCs w:val="18"/>
              </w:rPr>
              <w:t>指标1：法治书籍、宣传手册、普法物品印制</w:t>
            </w:r>
          </w:p>
        </w:tc>
        <w:tc>
          <w:tcPr>
            <w:tcW w:w="72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w:t>
            </w:r>
            <w:r>
              <w:rPr>
                <w:rFonts w:hint="eastAsia" w:ascii="宋体" w:hAnsi="宋体" w:eastAsia="宋体" w:cs="宋体"/>
                <w:color w:val="000000"/>
                <w:kern w:val="0"/>
                <w:sz w:val="18"/>
                <w:szCs w:val="18"/>
                <w:lang w:bidi="ar"/>
              </w:rPr>
              <w:t>普法书籍2万册、普法物品</w:t>
            </w:r>
          </w:p>
        </w:tc>
        <w:tc>
          <w:tcPr>
            <w:tcW w:w="114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w:t>
            </w:r>
            <w:r>
              <w:rPr>
                <w:rFonts w:hint="eastAsia" w:ascii="宋体" w:hAnsi="宋体" w:eastAsia="宋体" w:cs="宋体"/>
                <w:color w:val="000000"/>
                <w:kern w:val="0"/>
                <w:sz w:val="18"/>
                <w:szCs w:val="18"/>
                <w:lang w:bidi="ar"/>
              </w:rPr>
              <w:t>普法书籍2万册、普法物品</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38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指标2：法治讲座开展情况</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开展法治讲座</w:t>
            </w:r>
          </w:p>
        </w:tc>
        <w:tc>
          <w:tcPr>
            <w:tcW w:w="855" w:type="dxa"/>
            <w:tcBorders>
              <w:top w:val="nil"/>
              <w:left w:val="nil"/>
              <w:bottom w:val="single" w:color="auto" w:sz="4" w:space="0"/>
              <w:right w:val="single" w:color="auto" w:sz="4" w:space="0"/>
            </w:tcBorders>
            <w:vAlign w:val="center"/>
          </w:tcPr>
          <w:p>
            <w:pPr>
              <w:widowControl/>
              <w:spacing w:line="240" w:lineRule="exact"/>
              <w:rPr>
                <w:rFonts w:ascii="宋体" w:hAnsi="宋体" w:cs="宋体"/>
                <w:sz w:val="20"/>
                <w:szCs w:val="20"/>
              </w:rPr>
            </w:pPr>
            <w:r>
              <w:rPr>
                <w:rFonts w:hint="eastAsia" w:ascii="宋体" w:hAnsi="宋体" w:eastAsia="宋体" w:cs="宋体"/>
                <w:kern w:val="0"/>
                <w:sz w:val="18"/>
                <w:szCs w:val="18"/>
              </w:rPr>
              <w:t>江淮普法行广场宣传750次</w:t>
            </w:r>
          </w:p>
        </w:tc>
        <w:tc>
          <w:tcPr>
            <w:tcW w:w="93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00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指标2：法治讲座开展情况</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开展法治讲座</w:t>
            </w:r>
          </w:p>
        </w:tc>
        <w:tc>
          <w:tcPr>
            <w:tcW w:w="1144" w:type="dxa"/>
            <w:tcBorders>
              <w:top w:val="nil"/>
              <w:left w:val="nil"/>
              <w:bottom w:val="single" w:color="auto" w:sz="4" w:space="0"/>
              <w:right w:val="single" w:color="auto" w:sz="4" w:space="0"/>
            </w:tcBorders>
            <w:vAlign w:val="center"/>
          </w:tcPr>
          <w:p>
            <w:pPr>
              <w:widowControl/>
              <w:spacing w:line="240" w:lineRule="exact"/>
              <w:rPr>
                <w:rFonts w:ascii="宋体" w:hAnsi="宋体" w:cs="宋体"/>
                <w:sz w:val="20"/>
                <w:szCs w:val="20"/>
              </w:rPr>
            </w:pPr>
            <w:r>
              <w:rPr>
                <w:rFonts w:hint="eastAsia" w:ascii="宋体" w:hAnsi="宋体" w:eastAsia="宋体" w:cs="宋体"/>
                <w:kern w:val="0"/>
                <w:sz w:val="18"/>
                <w:szCs w:val="18"/>
              </w:rPr>
              <w:t>江淮普法行广场宣传250次</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38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指标1：保质保量印制各类法治书籍、宣传手册、普法物品等</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color w:val="000000"/>
                <w:kern w:val="0"/>
                <w:sz w:val="18"/>
                <w:szCs w:val="18"/>
              </w:rPr>
              <w:t>保质保量印制各类法治书籍、宣传手册、普法物品等</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color w:val="000000"/>
                <w:kern w:val="0"/>
                <w:sz w:val="18"/>
                <w:szCs w:val="18"/>
              </w:rPr>
              <w:t>保质保量印制各类法治书籍、宣传手册、普法物品等</w:t>
            </w:r>
          </w:p>
        </w:tc>
        <w:tc>
          <w:tcPr>
            <w:tcW w:w="93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00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指标1：保质保量印制各类法治书籍、宣传手册、普法物品等</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color w:val="000000"/>
                <w:kern w:val="0"/>
                <w:sz w:val="18"/>
                <w:szCs w:val="18"/>
              </w:rPr>
              <w:t>保质保量印制各类法治书籍、宣传手册、普法物品等</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color w:val="000000"/>
                <w:kern w:val="0"/>
                <w:sz w:val="18"/>
                <w:szCs w:val="18"/>
              </w:rPr>
              <w:t>保质保量印制各类法治书籍、宣传手册、普法物品等</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38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指标1：资金及时到位</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按照年度预算安排，资金拨付到位</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按照年度预算安排，资金拨付到位</w:t>
            </w:r>
          </w:p>
        </w:tc>
        <w:tc>
          <w:tcPr>
            <w:tcW w:w="93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00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指标1：资金及时到位</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按照年度预算安排，资金拨付到位</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按照年度预算安排，资金拨付到位</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38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指标1：在预定成本控制范围</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严格控制成本，不超年度预算</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完成年度支付进度100%</w:t>
            </w:r>
          </w:p>
        </w:tc>
        <w:tc>
          <w:tcPr>
            <w:tcW w:w="93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00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指标1：在预定成本控制范围</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严格控制成本，不超年度预算</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完成年度支付进度100%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经济效益指标</w:t>
            </w:r>
          </w:p>
        </w:tc>
        <w:tc>
          <w:tcPr>
            <w:tcW w:w="138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指标1：项目实施未产生经济价值</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不产生经济价值</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不产生经济价值</w:t>
            </w:r>
          </w:p>
        </w:tc>
        <w:tc>
          <w:tcPr>
            <w:tcW w:w="93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00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指标1：项目实施未产生经济价值</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不产生经济价值</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不产生经济价值</w:t>
            </w:r>
          </w:p>
        </w:tc>
      </w:tr>
      <w:tr>
        <w:tblPrEx>
          <w:tblCellMar>
            <w:top w:w="0" w:type="dxa"/>
            <w:left w:w="108" w:type="dxa"/>
            <w:bottom w:w="0" w:type="dxa"/>
            <w:right w:w="108" w:type="dxa"/>
          </w:tblCellMar>
        </w:tblPrEx>
        <w:trPr>
          <w:trHeight w:val="1863"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社会效益指标</w:t>
            </w:r>
          </w:p>
        </w:tc>
        <w:tc>
          <w:tcPr>
            <w:tcW w:w="138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指标1：对群众业余生活带来变化</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树立尊法学法守法用法意识，营造良好法治氛围</w:t>
            </w:r>
          </w:p>
        </w:tc>
        <w:tc>
          <w:tcPr>
            <w:tcW w:w="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树立尊法学法守法用法意识，营造良好法治氛围</w:t>
            </w:r>
          </w:p>
        </w:tc>
        <w:tc>
          <w:tcPr>
            <w:tcW w:w="93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00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指标1：对群众业余生活带来变化</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树立尊法学法守法用法意识，营造良好法治氛围</w:t>
            </w:r>
          </w:p>
        </w:tc>
        <w:tc>
          <w:tcPr>
            <w:tcW w:w="114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树立尊法学法守法用法意识，营造良好法治氛围</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38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指标2：对群众带来积极的影响</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为建设“法治淮北”贡献力量</w:t>
            </w:r>
          </w:p>
        </w:tc>
        <w:tc>
          <w:tcPr>
            <w:tcW w:w="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为群众树立法治意识带来影响</w:t>
            </w:r>
          </w:p>
        </w:tc>
        <w:tc>
          <w:tcPr>
            <w:tcW w:w="93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00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指标2：对群众带来积极的影响</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为建设“法治淮北”贡献力量</w:t>
            </w:r>
          </w:p>
        </w:tc>
        <w:tc>
          <w:tcPr>
            <w:tcW w:w="114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为群众树立法治意识带来影响</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不对周边生态环境带来影响</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不对周边生态环境带来影响</w:t>
            </w:r>
          </w:p>
        </w:tc>
        <w:tc>
          <w:tcPr>
            <w:tcW w:w="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不对周边生态环境带来影响</w:t>
            </w:r>
          </w:p>
        </w:tc>
        <w:tc>
          <w:tcPr>
            <w:tcW w:w="93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0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不对周边生态环境带来影响</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不对周边生态环境带来影响</w:t>
            </w:r>
          </w:p>
        </w:tc>
        <w:tc>
          <w:tcPr>
            <w:tcW w:w="114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不对周边生态环境带来影响</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138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指标1：项目实施后一定时期内有可持续影响</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进一步提升区域法治影响力</w:t>
            </w:r>
          </w:p>
        </w:tc>
        <w:tc>
          <w:tcPr>
            <w:tcW w:w="85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完成年度要求</w:t>
            </w:r>
          </w:p>
        </w:tc>
        <w:tc>
          <w:tcPr>
            <w:tcW w:w="93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00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指标1：项目实施后一定时期内有可持续影响</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进一步提升区域法治影响力</w:t>
            </w:r>
          </w:p>
        </w:tc>
        <w:tc>
          <w:tcPr>
            <w:tcW w:w="114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完成年度要求</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服务对象满意度指标</w:t>
            </w:r>
          </w:p>
        </w:tc>
        <w:tc>
          <w:tcPr>
            <w:tcW w:w="138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指标1：项目受益人及周边区域群众满意</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提高法治影响力给群众带来满意度</w:t>
            </w:r>
          </w:p>
        </w:tc>
        <w:tc>
          <w:tcPr>
            <w:tcW w:w="85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完成年度要求</w:t>
            </w:r>
          </w:p>
        </w:tc>
        <w:tc>
          <w:tcPr>
            <w:tcW w:w="93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100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指标1：项目受益人及周边区域群众满意</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提高法治影响力给群众带来满意度</w:t>
            </w:r>
          </w:p>
        </w:tc>
        <w:tc>
          <w:tcPr>
            <w:tcW w:w="114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完成年度要求</w:t>
            </w:r>
          </w:p>
        </w:tc>
      </w:tr>
    </w:tbl>
    <w:p>
      <w:pPr>
        <w:adjustRightInd w:val="0"/>
        <w:snapToGrid w:val="0"/>
        <w:spacing w:line="600" w:lineRule="exact"/>
        <w:rPr>
          <w:rFonts w:ascii="仿宋_GB2312" w:hAnsi="楷体" w:eastAsia="仿宋_GB2312"/>
          <w:b/>
          <w:sz w:val="32"/>
          <w:szCs w:val="32"/>
        </w:rPr>
      </w:pPr>
    </w:p>
    <w:tbl>
      <w:tblPr>
        <w:tblStyle w:val="8"/>
        <w:tblW w:w="0" w:type="auto"/>
        <w:tblInd w:w="93" w:type="dxa"/>
        <w:tblLayout w:type="fixed"/>
        <w:tblCellMar>
          <w:top w:w="0" w:type="dxa"/>
          <w:left w:w="108" w:type="dxa"/>
          <w:bottom w:w="0" w:type="dxa"/>
          <w:right w:w="108" w:type="dxa"/>
        </w:tblCellMar>
      </w:tblPr>
      <w:tblGrid>
        <w:gridCol w:w="416"/>
        <w:gridCol w:w="820"/>
        <w:gridCol w:w="940"/>
        <w:gridCol w:w="1523"/>
        <w:gridCol w:w="1200"/>
        <w:gridCol w:w="928"/>
        <w:gridCol w:w="677"/>
        <w:gridCol w:w="1140"/>
        <w:gridCol w:w="840"/>
        <w:gridCol w:w="840"/>
      </w:tblGrid>
      <w:tr>
        <w:tblPrEx>
          <w:tblCellMar>
            <w:top w:w="0" w:type="dxa"/>
            <w:left w:w="108" w:type="dxa"/>
            <w:bottom w:w="0" w:type="dxa"/>
            <w:right w:w="108" w:type="dxa"/>
          </w:tblCellMar>
        </w:tblPrEx>
        <w:trPr>
          <w:trHeight w:val="360" w:hRule="atLeast"/>
        </w:trPr>
        <w:tc>
          <w:tcPr>
            <w:tcW w:w="9324" w:type="dxa"/>
            <w:gridSpan w:val="10"/>
            <w:tcBorders>
              <w:top w:val="nil"/>
              <w:left w:val="nil"/>
              <w:bottom w:val="nil"/>
              <w:right w:val="nil"/>
            </w:tcBorders>
            <w:vAlign w:val="center"/>
          </w:tcPr>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2.“法律顾问室工作经费”项目。</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（1）项目概述。为全面落实依法治国基本方略，适应政府职能转变的需要，加快法治政府建设。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（2）立项依据。根据国务院《全面推进依法行政实施纲要》、《淮北市人民政府法律顾问工作规则》及受市政府委托。</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（3）实施主体：淮北市人民政府法律顾问室</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（4）起止时间。2024年1月-2024年12月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内容。2024年聘请有关法学专家、学者参与市政府重要决策的咨询论证，事前进行可行性研究，提供法律和政策依据；草拟、修改、审核以市政府名义签订的合同、协议以及其他有关法律事务的文书，并根据需要参与重大经济项目的洽谈工作；参与研究、论证市政府和全市依法行政的工作意见及实施方案；参与县、区或政府各部门规范性文件的选题和草案咨询论证工作；组织、召集我市公职律师参与涉及市政府民事、经济纠纷和行政应诉、行政复议、涉法事务的处理工作；承办市政府领导交办的其他涉法工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度预算安排。1、受市政府委托，组织有关专家、学者参与市政府重要决策的咨询论证，事前进行可行性研究，提供法律和政策依据；2、受市政府的委托，草拟、修改、审核以市政府名义签订的合同、协议以及其他有关法律事务的文书，并根据需要参与重大经济项目的洽谈工作；3、参与研究、论证市政府和全市依法行政的工作意见及实施方案；4、参与县、区或政府各部门规范性文件的选题和草案咨询论证工作；5、组织、召集我市公职律师参与涉及市政府民事、经济纠纷和行政应诉、行政复议、涉法事务的处理工作；6、承办市政府领导交办的其他涉法工作。</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（7）绩效目标。</w:t>
            </w:r>
          </w:p>
          <w:p>
            <w:pPr>
              <w:ind w:firstLine="2730" w:firstLineChars="850"/>
              <w:rPr>
                <w:rFonts w:ascii="宋体" w:hAnsi="宋体" w:cs="宋体"/>
                <w:b/>
                <w:bCs/>
                <w:sz w:val="32"/>
                <w:szCs w:val="32"/>
              </w:rPr>
            </w:pPr>
            <w:r>
              <w:rPr>
                <w:rFonts w:hint="eastAsia"/>
                <w:b/>
                <w:bCs/>
                <w:sz w:val="32"/>
                <w:szCs w:val="32"/>
              </w:rPr>
              <w:t>项目支出绩效目标表</w:t>
            </w:r>
          </w:p>
        </w:tc>
      </w:tr>
      <w:tr>
        <w:trPr>
          <w:trHeight w:val="270" w:hRule="atLeast"/>
        </w:trPr>
        <w:tc>
          <w:tcPr>
            <w:tcW w:w="9324" w:type="dxa"/>
            <w:gridSpan w:val="10"/>
            <w:tcBorders>
              <w:top w:val="nil"/>
              <w:left w:val="nil"/>
              <w:bottom w:val="nil"/>
              <w:right w:val="nil"/>
            </w:tcBorders>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项目名称</w:t>
            </w:r>
          </w:p>
        </w:tc>
        <w:tc>
          <w:tcPr>
            <w:tcW w:w="8088" w:type="dxa"/>
            <w:gridSpan w:val="8"/>
            <w:tcBorders>
              <w:top w:val="single" w:color="auto" w:sz="4" w:space="0"/>
              <w:left w:val="nil"/>
              <w:bottom w:val="single" w:color="auto"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法律顾问室工作经费　</w:t>
            </w:r>
          </w:p>
        </w:tc>
      </w:tr>
      <w:tr>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实施单位</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淮北市人民政府法律顾问室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项目属性</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经常性项目</w:t>
            </w:r>
          </w:p>
        </w:tc>
      </w:tr>
      <w:tr>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eastAsia="宋体"/>
                <w:sz w:val="20"/>
                <w:szCs w:val="20"/>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中期资金总额：</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7.6</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年度资金总额：</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7.6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7.6　</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7.6　</w:t>
            </w:r>
          </w:p>
        </w:tc>
      </w:tr>
      <w:tr>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2128"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总</w:t>
            </w:r>
          </w:p>
          <w:p>
            <w:pPr>
              <w:jc w:val="center"/>
              <w:rPr>
                <w:rFonts w:eastAsia="宋体"/>
                <w:sz w:val="20"/>
                <w:szCs w:val="20"/>
              </w:rPr>
            </w:pPr>
            <w:r>
              <w:rPr>
                <w:rFonts w:hint="eastAsia"/>
                <w:sz w:val="20"/>
                <w:szCs w:val="20"/>
              </w:rPr>
              <w:t>体</w:t>
            </w:r>
          </w:p>
          <w:p>
            <w:pPr>
              <w:jc w:val="center"/>
              <w:rPr>
                <w:rFonts w:eastAsia="宋体"/>
                <w:sz w:val="20"/>
                <w:szCs w:val="20"/>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pPr>
              <w:jc w:val="center"/>
              <w:rPr>
                <w:rFonts w:ascii="宋体" w:hAnsi="宋体" w:cs="宋体"/>
                <w:sz w:val="20"/>
                <w:szCs w:val="20"/>
              </w:rPr>
            </w:pPr>
            <w:r>
              <w:rPr>
                <w:rFonts w:hint="eastAsia"/>
                <w:sz w:val="20"/>
                <w:szCs w:val="20"/>
              </w:rPr>
              <w:t>中期目标（2022年—2025年）</w:t>
            </w:r>
          </w:p>
        </w:tc>
        <w:tc>
          <w:tcPr>
            <w:tcW w:w="3497"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年度目标</w:t>
            </w:r>
          </w:p>
        </w:tc>
      </w:tr>
      <w:tr>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tcPr>
          <w:p>
            <w:pPr>
              <w:rPr>
                <w:rFonts w:eastAsia="宋体"/>
                <w:sz w:val="20"/>
                <w:szCs w:val="20"/>
              </w:rPr>
            </w:pPr>
            <w:r>
              <w:rPr>
                <w:rFonts w:hint="eastAsia"/>
                <w:sz w:val="20"/>
                <w:szCs w:val="20"/>
              </w:rPr>
              <w:t xml:space="preserve"> 目标1：主要承担市政府法制咨询服务工作；受市政府委托，组织有关专家、学者参与市政府主要决策的咨询论证，提供相关法律和政策依据；草拟、修改、审核以市政府名义签订的合同、协议以及其他有关法律事务的文书。</w:t>
            </w:r>
          </w:p>
          <w:p>
            <w:pPr>
              <w:pStyle w:val="7"/>
              <w:ind w:left="420"/>
            </w:pPr>
          </w:p>
        </w:tc>
        <w:tc>
          <w:tcPr>
            <w:tcW w:w="3497" w:type="dxa"/>
            <w:gridSpan w:val="4"/>
            <w:tcBorders>
              <w:top w:val="single" w:color="auto" w:sz="4" w:space="0"/>
              <w:left w:val="single" w:color="auto" w:sz="4" w:space="0"/>
              <w:bottom w:val="single" w:color="auto" w:sz="4" w:space="0"/>
              <w:right w:val="single" w:color="000000" w:sz="4" w:space="0"/>
            </w:tcBorders>
          </w:tcPr>
          <w:p>
            <w:pPr>
              <w:rPr>
                <w:rFonts w:ascii="宋体" w:hAnsi="宋体" w:cs="宋体"/>
                <w:sz w:val="20"/>
                <w:szCs w:val="20"/>
              </w:rPr>
            </w:pPr>
            <w:r>
              <w:rPr>
                <w:rFonts w:hint="eastAsia"/>
                <w:sz w:val="20"/>
                <w:szCs w:val="20"/>
              </w:rPr>
              <w:t xml:space="preserve"> 目标1：主要承担市政府法制咨询服务工作；受市政府委托，组织有关专家、学者参与市政府主要决策的咨询论证，提供相关法律和政策依据；草拟、修改、审核以市政府名义签订的合同、协议以及其他有关法律事务的文书。 </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绩</w:t>
            </w:r>
          </w:p>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vAlign w:val="center"/>
          </w:tcPr>
          <w:p>
            <w:pPr>
              <w:jc w:val="center"/>
              <w:rPr>
                <w:rFonts w:eastAsia="宋体"/>
                <w:sz w:val="20"/>
                <w:szCs w:val="20"/>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三级指标</w:t>
            </w:r>
          </w:p>
        </w:tc>
        <w:tc>
          <w:tcPr>
            <w:tcW w:w="120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928"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c>
          <w:tcPr>
            <w:tcW w:w="677"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40" w:type="dxa"/>
            <w:tcBorders>
              <w:top w:val="nil"/>
              <w:left w:val="nil"/>
              <w:bottom w:val="single" w:color="auto" w:sz="4" w:space="0"/>
              <w:right w:val="nil"/>
            </w:tcBorders>
            <w:vAlign w:val="center"/>
          </w:tcPr>
          <w:p>
            <w:pPr>
              <w:jc w:val="center"/>
              <w:rPr>
                <w:rFonts w:ascii="宋体" w:hAnsi="宋体" w:cs="宋体"/>
                <w:sz w:val="20"/>
                <w:szCs w:val="20"/>
              </w:rPr>
            </w:pPr>
            <w:r>
              <w:rPr>
                <w:rFonts w:hint="eastAsia"/>
                <w:sz w:val="20"/>
                <w:szCs w:val="20"/>
              </w:rPr>
              <w:t>三级指标</w:t>
            </w:r>
          </w:p>
        </w:tc>
        <w:tc>
          <w:tcPr>
            <w:tcW w:w="840" w:type="dxa"/>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84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r>
      <w:tr>
        <w:trPr>
          <w:trHeight w:val="1347"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产</w:t>
            </w:r>
          </w:p>
          <w:p>
            <w:pPr>
              <w:jc w:val="center"/>
              <w:rPr>
                <w:rFonts w:eastAsia="宋体"/>
                <w:sz w:val="20"/>
                <w:szCs w:val="20"/>
              </w:rPr>
            </w:pPr>
            <w:r>
              <w:rPr>
                <w:rFonts w:hint="eastAsia"/>
                <w:sz w:val="20"/>
                <w:szCs w:val="20"/>
              </w:rPr>
              <w:t>出</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tcPr>
          <w:p>
            <w:pPr>
              <w:rPr>
                <w:rFonts w:ascii="宋体" w:hAnsi="宋体" w:cs="宋体"/>
                <w:sz w:val="20"/>
                <w:szCs w:val="20"/>
              </w:rPr>
            </w:pPr>
            <w:r>
              <w:rPr>
                <w:rFonts w:hint="eastAsia"/>
                <w:sz w:val="20"/>
                <w:szCs w:val="20"/>
              </w:rPr>
              <w:t xml:space="preserve"> 指标1：是否按时完成劳务费发放</w:t>
            </w:r>
          </w:p>
        </w:tc>
        <w:tc>
          <w:tcPr>
            <w:tcW w:w="1200" w:type="dxa"/>
            <w:tcBorders>
              <w:top w:val="nil"/>
              <w:left w:val="nil"/>
              <w:bottom w:val="single" w:color="auto" w:sz="4" w:space="0"/>
              <w:right w:val="single" w:color="auto" w:sz="4" w:space="0"/>
            </w:tcBorders>
          </w:tcPr>
          <w:p>
            <w:pPr>
              <w:rPr>
                <w:rFonts w:ascii="宋体" w:hAnsi="宋体" w:cs="宋体"/>
                <w:sz w:val="20"/>
                <w:szCs w:val="20"/>
              </w:rPr>
            </w:pPr>
            <w:r>
              <w:rPr>
                <w:rFonts w:hint="eastAsia"/>
                <w:sz w:val="20"/>
                <w:szCs w:val="20"/>
              </w:rPr>
              <w:t>按时完成劳务费发放</w:t>
            </w:r>
          </w:p>
        </w:tc>
        <w:tc>
          <w:tcPr>
            <w:tcW w:w="928" w:type="dxa"/>
            <w:tcBorders>
              <w:top w:val="nil"/>
              <w:left w:val="nil"/>
              <w:bottom w:val="single" w:color="auto" w:sz="4" w:space="0"/>
              <w:right w:val="single" w:color="auto" w:sz="4" w:space="0"/>
            </w:tcBorders>
          </w:tcPr>
          <w:p>
            <w:pPr>
              <w:rPr>
                <w:rFonts w:ascii="宋体" w:hAnsi="宋体" w:cs="宋体"/>
                <w:sz w:val="20"/>
                <w:szCs w:val="20"/>
              </w:rPr>
            </w:pPr>
            <w:r>
              <w:rPr>
                <w:rFonts w:hint="eastAsia"/>
                <w:sz w:val="20"/>
                <w:szCs w:val="20"/>
              </w:rPr>
              <w:t>按时完成劳务费发放</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 xml:space="preserve"> 指标1：是否按时完成劳务费发放</w:t>
            </w:r>
          </w:p>
        </w:tc>
        <w:tc>
          <w:tcPr>
            <w:tcW w:w="840"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按时完成劳务费发放</w:t>
            </w:r>
          </w:p>
        </w:tc>
        <w:tc>
          <w:tcPr>
            <w:tcW w:w="840"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按时完成劳务费发放</w:t>
            </w:r>
          </w:p>
        </w:tc>
      </w:tr>
      <w:tr>
        <w:tblPrEx>
          <w:tblCellMar>
            <w:top w:w="0" w:type="dxa"/>
            <w:left w:w="108" w:type="dxa"/>
            <w:bottom w:w="0" w:type="dxa"/>
            <w:right w:w="108" w:type="dxa"/>
          </w:tblCellMar>
        </w:tblPrEx>
        <w:trPr>
          <w:trHeight w:val="124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指标1：是否达到绩效目标</w:t>
            </w:r>
          </w:p>
        </w:tc>
        <w:tc>
          <w:tcPr>
            <w:tcW w:w="1200" w:type="dxa"/>
            <w:tcBorders>
              <w:top w:val="single" w:color="auto" w:sz="4" w:space="0"/>
              <w:left w:val="nil"/>
              <w:bottom w:val="nil"/>
              <w:right w:val="single" w:color="auto" w:sz="4" w:space="0"/>
            </w:tcBorders>
          </w:tcPr>
          <w:p>
            <w:pPr>
              <w:rPr>
                <w:rFonts w:ascii="宋体" w:hAnsi="宋体" w:cs="宋体"/>
                <w:sz w:val="20"/>
                <w:szCs w:val="20"/>
              </w:rPr>
            </w:pPr>
            <w:r>
              <w:rPr>
                <w:rFonts w:hint="eastAsia"/>
                <w:sz w:val="20"/>
                <w:szCs w:val="20"/>
              </w:rPr>
              <w:t>保质保量完成绩效目标</w:t>
            </w:r>
          </w:p>
        </w:tc>
        <w:tc>
          <w:tcPr>
            <w:tcW w:w="928" w:type="dxa"/>
            <w:tcBorders>
              <w:top w:val="single" w:color="auto" w:sz="4" w:space="0"/>
              <w:left w:val="nil"/>
              <w:bottom w:val="nil"/>
              <w:right w:val="single" w:color="auto" w:sz="4" w:space="0"/>
            </w:tcBorders>
          </w:tcPr>
          <w:p>
            <w:pPr>
              <w:rPr>
                <w:rFonts w:ascii="宋体" w:hAnsi="宋体" w:cs="宋体"/>
                <w:sz w:val="20"/>
                <w:szCs w:val="20"/>
              </w:rPr>
            </w:pPr>
            <w:r>
              <w:rPr>
                <w:rFonts w:hint="eastAsia"/>
                <w:sz w:val="20"/>
                <w:szCs w:val="20"/>
              </w:rPr>
              <w:t>保质保量完成绩效目标</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sz w:val="20"/>
                <w:szCs w:val="20"/>
              </w:rPr>
              <w:t xml:space="preserve"> 指标1：</w:t>
            </w:r>
          </w:p>
          <w:p>
            <w:pPr>
              <w:rPr>
                <w:rFonts w:ascii="宋体" w:hAnsi="宋体" w:cs="宋体"/>
                <w:sz w:val="20"/>
                <w:szCs w:val="20"/>
              </w:rPr>
            </w:pPr>
            <w:r>
              <w:rPr>
                <w:rFonts w:hint="eastAsia"/>
                <w:sz w:val="20"/>
                <w:szCs w:val="20"/>
              </w:rPr>
              <w:t>是否达到绩效目标</w:t>
            </w:r>
          </w:p>
        </w:tc>
        <w:tc>
          <w:tcPr>
            <w:tcW w:w="840" w:type="dxa"/>
            <w:tcBorders>
              <w:top w:val="single" w:color="auto" w:sz="4" w:space="0"/>
              <w:left w:val="nil"/>
              <w:bottom w:val="single" w:color="auto" w:sz="4" w:space="0"/>
              <w:right w:val="single" w:color="auto" w:sz="4" w:space="0"/>
            </w:tcBorders>
          </w:tcPr>
          <w:p>
            <w:pPr>
              <w:rPr>
                <w:rFonts w:ascii="宋体" w:hAnsi="宋体" w:cs="宋体"/>
                <w:sz w:val="20"/>
                <w:szCs w:val="20"/>
              </w:rPr>
            </w:pPr>
            <w:r>
              <w:rPr>
                <w:rFonts w:hint="eastAsia"/>
                <w:sz w:val="20"/>
                <w:szCs w:val="20"/>
              </w:rPr>
              <w:t>保质保量完成绩效目标</w:t>
            </w:r>
          </w:p>
        </w:tc>
        <w:tc>
          <w:tcPr>
            <w:tcW w:w="840" w:type="dxa"/>
            <w:tcBorders>
              <w:top w:val="single" w:color="auto" w:sz="4" w:space="0"/>
              <w:left w:val="nil"/>
              <w:bottom w:val="single" w:color="auto" w:sz="4" w:space="0"/>
              <w:right w:val="single" w:color="auto" w:sz="4" w:space="0"/>
            </w:tcBorders>
          </w:tcPr>
          <w:p>
            <w:pPr>
              <w:rPr>
                <w:rFonts w:ascii="宋体" w:hAnsi="宋体" w:cs="宋体"/>
                <w:sz w:val="20"/>
                <w:szCs w:val="20"/>
              </w:rPr>
            </w:pPr>
            <w:r>
              <w:rPr>
                <w:rFonts w:hint="eastAsia"/>
                <w:sz w:val="20"/>
                <w:szCs w:val="20"/>
              </w:rPr>
              <w:t>保质保量完成绩效目标</w:t>
            </w:r>
          </w:p>
        </w:tc>
      </w:tr>
      <w:tr>
        <w:trPr>
          <w:trHeight w:val="212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nil"/>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nil"/>
              <w:right w:val="single" w:color="auto" w:sz="4" w:space="0"/>
            </w:tcBorders>
            <w:vAlign w:val="center"/>
          </w:tcPr>
          <w:p>
            <w:pPr>
              <w:rPr>
                <w:rFonts w:ascii="宋体" w:hAnsi="宋体" w:cs="宋体"/>
                <w:sz w:val="20"/>
                <w:szCs w:val="20"/>
              </w:rPr>
            </w:pPr>
            <w:r>
              <w:rPr>
                <w:rFonts w:hint="eastAsia"/>
                <w:sz w:val="20"/>
                <w:szCs w:val="20"/>
              </w:rPr>
              <w:t>指标1：是否资金及时到位</w:t>
            </w:r>
          </w:p>
        </w:tc>
        <w:tc>
          <w:tcPr>
            <w:tcW w:w="1200" w:type="dxa"/>
            <w:tcBorders>
              <w:top w:val="single" w:color="auto" w:sz="4" w:space="0"/>
              <w:left w:val="nil"/>
              <w:bottom w:val="nil"/>
              <w:right w:val="single" w:color="auto" w:sz="4" w:space="0"/>
            </w:tcBorders>
            <w:vAlign w:val="center"/>
          </w:tcPr>
          <w:p>
            <w:pPr>
              <w:rPr>
                <w:rFonts w:ascii="宋体" w:hAnsi="宋体" w:cs="宋体"/>
                <w:sz w:val="20"/>
                <w:szCs w:val="20"/>
              </w:rPr>
            </w:pPr>
            <w:r>
              <w:rPr>
                <w:rFonts w:hint="eastAsia"/>
                <w:sz w:val="20"/>
                <w:szCs w:val="20"/>
              </w:rPr>
              <w:t>按照年度预算安排，资金拨付到位</w:t>
            </w:r>
          </w:p>
        </w:tc>
        <w:tc>
          <w:tcPr>
            <w:tcW w:w="928" w:type="dxa"/>
            <w:tcBorders>
              <w:top w:val="single" w:color="auto" w:sz="4" w:space="0"/>
              <w:left w:val="nil"/>
              <w:bottom w:val="nil"/>
              <w:right w:val="single" w:color="auto" w:sz="4" w:space="0"/>
            </w:tcBorders>
            <w:vAlign w:val="center"/>
          </w:tcPr>
          <w:p>
            <w:pPr>
              <w:rPr>
                <w:rFonts w:ascii="宋体" w:hAnsi="宋体" w:cs="宋体"/>
                <w:sz w:val="20"/>
                <w:szCs w:val="20"/>
              </w:rPr>
            </w:pPr>
            <w:r>
              <w:rPr>
                <w:rFonts w:hint="eastAsia"/>
                <w:sz w:val="20"/>
                <w:szCs w:val="20"/>
              </w:rPr>
              <w:t>按照年度预算安排，资金拨付到位　</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指标1：是否资金及时到位</w:t>
            </w:r>
          </w:p>
          <w:p>
            <w:pPr>
              <w:rPr>
                <w:rFonts w:ascii="宋体" w:hAnsi="宋体" w:cs="宋体"/>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　按照年度预算安排，资金拨付到位</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　按照年度预算安排，资金拨付到位</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指标1：是否在预定成本控制范围</w:t>
            </w:r>
          </w:p>
        </w:tc>
        <w:tc>
          <w:tcPr>
            <w:tcW w:w="120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928"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677"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指标1：是否在预定成本控制范围</w:t>
            </w:r>
          </w:p>
        </w:tc>
        <w:tc>
          <w:tcPr>
            <w:tcW w:w="8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8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r>
      <w:tr>
        <w:trPr>
          <w:trHeight w:val="2181" w:hRule="atLeast"/>
        </w:trPr>
        <w:tc>
          <w:tcPr>
            <w:tcW w:w="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益</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经济效益指标</w:t>
            </w:r>
          </w:p>
        </w:tc>
        <w:tc>
          <w:tcPr>
            <w:tcW w:w="1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指标1：是否产生直接或间接经济效益</w:t>
            </w:r>
          </w:p>
        </w:tc>
        <w:tc>
          <w:tcPr>
            <w:tcW w:w="120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928"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指标1：是否产生直接或间接经济效益</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提供全方位的法律服务，保证了项目的顺利进行　</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提供全方位的法律服务，保证了项目的顺利进行</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社会效益指标</w:t>
            </w:r>
          </w:p>
        </w:tc>
        <w:tc>
          <w:tcPr>
            <w:tcW w:w="1523" w:type="dxa"/>
            <w:vMerge w:val="restart"/>
            <w:tcBorders>
              <w:top w:val="single" w:color="auto" w:sz="4" w:space="0"/>
              <w:left w:val="single" w:color="auto" w:sz="4" w:space="0"/>
              <w:right w:val="single" w:color="auto" w:sz="4" w:space="0"/>
            </w:tcBorders>
            <w:vAlign w:val="center"/>
          </w:tcPr>
          <w:p>
            <w:pPr>
              <w:rPr>
                <w:sz w:val="20"/>
                <w:szCs w:val="20"/>
              </w:rPr>
            </w:pPr>
            <w:r>
              <w:rPr>
                <w:rFonts w:hint="eastAsia"/>
                <w:sz w:val="20"/>
                <w:szCs w:val="20"/>
              </w:rPr>
              <w:t xml:space="preserve"> 指标1：项目实施是否产生社会综合效益</w:t>
            </w:r>
          </w:p>
          <w:p>
            <w:pPr>
              <w:rPr>
                <w:rFonts w:ascii="宋体" w:hAnsi="宋体" w:cs="宋体"/>
                <w:sz w:val="20"/>
                <w:szCs w:val="20"/>
              </w:rPr>
            </w:pPr>
          </w:p>
        </w:tc>
        <w:tc>
          <w:tcPr>
            <w:tcW w:w="120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　对化解社会矛盾，构建和谐社会发挥了积极作用</w:t>
            </w:r>
          </w:p>
          <w:p>
            <w:pPr>
              <w:rPr>
                <w:rFonts w:ascii="宋体" w:hAnsi="宋体" w:cs="宋体"/>
                <w:sz w:val="20"/>
                <w:szCs w:val="20"/>
              </w:rPr>
            </w:pPr>
            <w:r>
              <w:rPr>
                <w:rFonts w:hint="eastAsia"/>
                <w:sz w:val="20"/>
                <w:szCs w:val="20"/>
              </w:rPr>
              <w:t>　</w:t>
            </w:r>
          </w:p>
        </w:tc>
        <w:tc>
          <w:tcPr>
            <w:tcW w:w="928"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sz w:val="20"/>
                <w:szCs w:val="20"/>
              </w:rPr>
              <w:t>　对化解社会矛盾，构建和谐社会发挥了积极作用　</w:t>
            </w:r>
          </w:p>
        </w:tc>
        <w:tc>
          <w:tcPr>
            <w:tcW w:w="677" w:type="dxa"/>
            <w:vMerge w:val="restart"/>
            <w:tcBorders>
              <w:top w:val="single" w:color="auto" w:sz="4" w:space="0"/>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1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 xml:space="preserve"> 指标1：项目实施是否产生社会综合效益</w:t>
            </w: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　对化解社会矛盾，构建和谐社会发挥了积极作用</w:t>
            </w:r>
          </w:p>
          <w:p>
            <w:pPr>
              <w:rPr>
                <w:sz w:val="20"/>
                <w:szCs w:val="20"/>
              </w:rPr>
            </w:pPr>
            <w:r>
              <w:rPr>
                <w:rFonts w:hint="eastAsia"/>
                <w:sz w:val="20"/>
                <w:szCs w:val="20"/>
              </w:rPr>
              <w:t>　</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nil"/>
              <w:right w:val="single" w:color="auto" w:sz="4" w:space="0"/>
            </w:tcBorders>
            <w:vAlign w:val="center"/>
          </w:tcPr>
          <w:p>
            <w:pPr>
              <w:rPr>
                <w:sz w:val="20"/>
                <w:szCs w:val="20"/>
              </w:rPr>
            </w:pPr>
            <w:r>
              <w:rPr>
                <w:rFonts w:hint="eastAsia"/>
                <w:sz w:val="20"/>
                <w:szCs w:val="20"/>
              </w:rPr>
              <w:t>　对化解社会矛盾，构建和谐社会发挥了积极作用</w:t>
            </w:r>
          </w:p>
          <w:p>
            <w:pPr>
              <w:rPr>
                <w:rFonts w:ascii="宋体" w:hAnsi="宋体" w:cs="宋体"/>
                <w:sz w:val="20"/>
                <w:szCs w:val="20"/>
              </w:rPr>
            </w:pPr>
            <w:r>
              <w:rPr>
                <w:rFonts w:hint="eastAsia"/>
                <w:sz w:val="20"/>
                <w:szCs w:val="20"/>
              </w:rPr>
              <w:t>　</w:t>
            </w:r>
          </w:p>
        </w:tc>
      </w:tr>
      <w:tr>
        <w:trPr>
          <w:trHeight w:val="9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single" w:color="auto" w:sz="4" w:space="0"/>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523" w:type="dxa"/>
            <w:vMerge w:val="restart"/>
            <w:tcBorders>
              <w:top w:val="nil"/>
              <w:left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120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tc>
        <w:tc>
          <w:tcPr>
            <w:tcW w:w="928"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tc>
        <w:tc>
          <w:tcPr>
            <w:tcW w:w="677"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140" w:type="dxa"/>
            <w:tcBorders>
              <w:top w:val="single" w:color="auto" w:sz="4" w:space="0"/>
              <w:left w:val="single" w:color="auto" w:sz="4" w:space="0"/>
              <w:bottom w:val="nil"/>
              <w:right w:val="single" w:color="auto" w:sz="4" w:space="0"/>
            </w:tcBorders>
            <w:vAlign w:val="center"/>
          </w:tcPr>
          <w:p>
            <w:pPr>
              <w:rPr>
                <w:rFonts w:ascii="宋体" w:hAnsi="宋体" w:cs="宋体"/>
                <w:sz w:val="20"/>
                <w:szCs w:val="20"/>
              </w:rPr>
            </w:pPr>
            <w:r>
              <w:rPr>
                <w:rFonts w:hint="eastAsia"/>
                <w:sz w:val="20"/>
                <w:szCs w:val="20"/>
              </w:rPr>
              <w:t xml:space="preserve"> 指标1：是否对当地生态环境造成影响</w:t>
            </w:r>
          </w:p>
        </w:tc>
        <w:tc>
          <w:tcPr>
            <w:tcW w:w="840" w:type="dxa"/>
            <w:vMerge w:val="restart"/>
            <w:tcBorders>
              <w:top w:val="nil"/>
              <w:left w:val="nil"/>
              <w:right w:val="single" w:color="auto" w:sz="4" w:space="0"/>
            </w:tcBorders>
            <w:vAlign w:val="center"/>
          </w:tcPr>
          <w:p>
            <w:pPr>
              <w:rPr>
                <w:rFonts w:ascii="宋体" w:hAnsi="宋体" w:cs="宋体"/>
                <w:sz w:val="20"/>
                <w:szCs w:val="20"/>
              </w:rPr>
            </w:pPr>
            <w:r>
              <w:rPr>
                <w:rFonts w:hint="eastAsia"/>
                <w:sz w:val="20"/>
                <w:szCs w:val="20"/>
              </w:rPr>
              <w:t>　不对周边生态环境带来影响</w:t>
            </w:r>
          </w:p>
        </w:tc>
        <w:tc>
          <w:tcPr>
            <w:tcW w:w="84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rPr>
              <w:t>不对周边生态环境带来影响</w:t>
            </w:r>
          </w:p>
        </w:tc>
      </w:tr>
      <w:tr>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指标1：项目实施后一定时期内是否有可持续影响</w:t>
            </w:r>
          </w:p>
        </w:tc>
        <w:tc>
          <w:tcPr>
            <w:tcW w:w="120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提升了法律顾问参与涉法事项的积极性</w:t>
            </w:r>
          </w:p>
        </w:tc>
        <w:tc>
          <w:tcPr>
            <w:tcW w:w="92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提升了法律顾问参与涉法事项的积极性</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指标1：项目实施后一定时期内是否有可持续影响</w:t>
            </w:r>
          </w:p>
        </w:tc>
        <w:tc>
          <w:tcPr>
            <w:tcW w:w="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提升了法律顾问参与涉法事项的积极性</w:t>
            </w:r>
          </w:p>
        </w:tc>
        <w:tc>
          <w:tcPr>
            <w:tcW w:w="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提升了法律顾问参与涉法事项的积极性</w:t>
            </w:r>
          </w:p>
        </w:tc>
      </w:tr>
      <w:tr>
        <w:trPr>
          <w:trHeight w:val="2059"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服务对象满意度指标</w:t>
            </w:r>
          </w:p>
          <w:p>
            <w:pPr>
              <w:jc w:val="center"/>
              <w:rPr>
                <w:rFonts w:ascii="宋体" w:hAnsi="宋体" w:cs="宋体"/>
                <w:sz w:val="20"/>
                <w:szCs w:val="20"/>
              </w:rPr>
            </w:pPr>
          </w:p>
        </w:tc>
        <w:tc>
          <w:tcPr>
            <w:tcW w:w="1523"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提高项目服务对象的满意程度　</w:t>
            </w:r>
          </w:p>
          <w:p>
            <w:pPr>
              <w:jc w:val="center"/>
              <w:rPr>
                <w:rFonts w:ascii="宋体" w:hAnsi="宋体" w:cs="宋体"/>
                <w:sz w:val="20"/>
                <w:szCs w:val="20"/>
              </w:rPr>
            </w:pPr>
            <w:r>
              <w:rPr>
                <w:rFonts w:hint="eastAsia"/>
                <w:sz w:val="20"/>
                <w:szCs w:val="20"/>
              </w:rPr>
              <w:t>　</w:t>
            </w:r>
          </w:p>
          <w:p>
            <w:pPr>
              <w:jc w:val="center"/>
              <w:rPr>
                <w:rFonts w:ascii="宋体" w:hAnsi="宋体" w:cs="宋体"/>
                <w:sz w:val="20"/>
                <w:szCs w:val="20"/>
              </w:rPr>
            </w:pP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提高项目服务对象的满意程度　</w:t>
            </w:r>
          </w:p>
          <w:p>
            <w:pPr>
              <w:jc w:val="center"/>
              <w:rPr>
                <w:rFonts w:ascii="宋体" w:hAnsi="宋体" w:cs="宋体"/>
                <w:sz w:val="20"/>
                <w:szCs w:val="20"/>
              </w:rPr>
            </w:pPr>
            <w:r>
              <w:rPr>
                <w:rFonts w:hint="eastAsia"/>
                <w:sz w:val="20"/>
                <w:szCs w:val="20"/>
              </w:rPr>
              <w:t>　</w:t>
            </w:r>
          </w:p>
          <w:p>
            <w:pPr>
              <w:jc w:val="center"/>
              <w:rPr>
                <w:rFonts w:ascii="宋体" w:hAnsi="宋体" w:cs="宋体"/>
                <w:sz w:val="20"/>
                <w:szCs w:val="20"/>
              </w:rPr>
            </w:pPr>
            <w:r>
              <w:rPr>
                <w:rFonts w:hint="eastAsia"/>
                <w:sz w:val="20"/>
                <w:szCs w:val="20"/>
              </w:rPr>
              <w:t>　</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sz w:val="20"/>
                <w:szCs w:val="20"/>
              </w:rPr>
            </w:pPr>
            <w:r>
              <w:rPr>
                <w:rFonts w:hint="eastAsia"/>
                <w:sz w:val="20"/>
                <w:szCs w:val="20"/>
              </w:rPr>
              <w:t>度指标</w:t>
            </w:r>
          </w:p>
          <w:p>
            <w:pPr>
              <w:jc w:val="center"/>
              <w:rPr>
                <w:rFonts w:ascii="宋体" w:hAnsi="宋体" w:cs="宋体"/>
                <w:sz w:val="20"/>
                <w:szCs w:val="20"/>
              </w:rPr>
            </w:pPr>
          </w:p>
        </w:tc>
        <w:tc>
          <w:tcPr>
            <w:tcW w:w="11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提高项目服务对象的满意程度</w:t>
            </w:r>
          </w:p>
          <w:p>
            <w:pPr>
              <w:rPr>
                <w:rFonts w:ascii="宋体" w:hAnsi="宋体" w:cs="宋体"/>
                <w:sz w:val="20"/>
                <w:szCs w:val="20"/>
              </w:rPr>
            </w:pPr>
            <w:r>
              <w:rPr>
                <w:rFonts w:hint="eastAsia"/>
                <w:sz w:val="20"/>
                <w:szCs w:val="20"/>
              </w:rPr>
              <w:t>　</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rPr>
              <w:t>提高项目服务对象的满意程度</w:t>
            </w:r>
          </w:p>
        </w:tc>
      </w:tr>
    </w:tbl>
    <w:p>
      <w:pPr>
        <w:adjustRightInd w:val="0"/>
        <w:snapToGrid w:val="0"/>
        <w:spacing w:line="600" w:lineRule="exact"/>
        <w:rPr>
          <w:rFonts w:ascii="仿宋_GB2312" w:hAnsi="楷体" w:eastAsia="仿宋_GB2312"/>
          <w:b/>
          <w:sz w:val="32"/>
          <w:szCs w:val="32"/>
        </w:rPr>
      </w:pPr>
    </w:p>
    <w:tbl>
      <w:tblPr>
        <w:tblStyle w:val="8"/>
        <w:tblW w:w="0" w:type="auto"/>
        <w:tblInd w:w="93" w:type="dxa"/>
        <w:tblLayout w:type="fixed"/>
        <w:tblCellMar>
          <w:top w:w="0" w:type="dxa"/>
          <w:left w:w="108" w:type="dxa"/>
          <w:bottom w:w="0" w:type="dxa"/>
          <w:right w:w="108" w:type="dxa"/>
        </w:tblCellMar>
      </w:tblPr>
      <w:tblGrid>
        <w:gridCol w:w="416"/>
        <w:gridCol w:w="820"/>
        <w:gridCol w:w="940"/>
        <w:gridCol w:w="1523"/>
        <w:gridCol w:w="1200"/>
        <w:gridCol w:w="928"/>
        <w:gridCol w:w="677"/>
        <w:gridCol w:w="1140"/>
        <w:gridCol w:w="840"/>
        <w:gridCol w:w="840"/>
      </w:tblGrid>
      <w:tr>
        <w:tblPrEx>
          <w:tblCellMar>
            <w:top w:w="0" w:type="dxa"/>
            <w:left w:w="108" w:type="dxa"/>
            <w:bottom w:w="0" w:type="dxa"/>
            <w:right w:w="108" w:type="dxa"/>
          </w:tblCellMar>
        </w:tblPrEx>
        <w:trPr>
          <w:trHeight w:val="360" w:hRule="atLeast"/>
        </w:trPr>
        <w:tc>
          <w:tcPr>
            <w:tcW w:w="9324" w:type="dxa"/>
            <w:gridSpan w:val="10"/>
            <w:tcBorders>
              <w:top w:val="nil"/>
              <w:left w:val="nil"/>
              <w:bottom w:val="nil"/>
              <w:right w:val="nil"/>
            </w:tcBorders>
            <w:vAlign w:val="center"/>
          </w:tcPr>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3.“法律援助经费”项目。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（1）项目概述。法律援助中心是执行政府的职能，是保障弱势群体获得必要的法律服务机构，为了促进和规范法律援助工作，特申请法律援助经费。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立项依据。法律援助中心是执行政府的职能，是保障弱势群体获得必要的法律服务机构，为了促进和规范法律援助工作，特申请法律援助经费。国务院《法律援助条例》、《安徽省法律援助条例》、财政法[2005]474号文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（3）实施主体：淮北市法律援助中心</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（4）起止时间。2024年1月-2024年12月</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内容。认真贯彻执行《法律援助条例》、《安徽省法律援助条例》及2023年度《城乡困难群体法律援助实施方案》的法律援助事项和经济困难标准的规定。办理城乡困难群体法律援助案件不低于300件，积极实施法律援助宣传、培训、值班等工作。法律援助是一项扶助贫弱、保障社会弱势群体合法权益的社会公益事业，也是我国实践依法治国方略，法律援助宣传全面建设小康社会的重要举措。淮北市法律援助中心自成立以来，积极拓展法律援助工作，努力维护弱势群体的合法权益，得到了群众的广泛认可，取得了一定的社会效益，为构建“和谐社会”“文明淮北”做出了应有的贡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度预算安排。淮北市法律援助中心全年办理案件不低于260件目标；法律援助案件质量要符合中央和省案件质量评查标准；开展民生工程各项工作，为农民工、老年人、妇女、残疾人、未成年人、军人军属各类困难群体开展法律援助帮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（7）绩效目标。</w:t>
            </w:r>
          </w:p>
          <w:p>
            <w:pPr>
              <w:ind w:firstLine="2730" w:firstLineChars="850"/>
              <w:rPr>
                <w:b/>
                <w:bCs/>
                <w:sz w:val="32"/>
                <w:szCs w:val="32"/>
              </w:rPr>
            </w:pPr>
          </w:p>
          <w:p>
            <w:pPr>
              <w:ind w:firstLine="2730" w:firstLineChars="850"/>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324" w:type="dxa"/>
            <w:gridSpan w:val="10"/>
            <w:tcBorders>
              <w:top w:val="nil"/>
              <w:left w:val="nil"/>
              <w:bottom w:val="nil"/>
              <w:right w:val="nil"/>
            </w:tcBorders>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项目名称</w:t>
            </w:r>
          </w:p>
        </w:tc>
        <w:tc>
          <w:tcPr>
            <w:tcW w:w="8088" w:type="dxa"/>
            <w:gridSpan w:val="8"/>
            <w:tcBorders>
              <w:top w:val="single" w:color="auto" w:sz="4" w:space="0"/>
              <w:left w:val="nil"/>
              <w:bottom w:val="single" w:color="auto"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法律援助经费</w:t>
            </w:r>
          </w:p>
        </w:tc>
      </w:tr>
      <w:tr>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实施单位</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淮北市法律援助中心</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项目属性</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eastAsia="宋体"/>
                <w:sz w:val="20"/>
                <w:szCs w:val="20"/>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中期资金总额：</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21.9</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年度资金总额：</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21.9</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21.9</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21.9</w:t>
            </w:r>
          </w:p>
        </w:tc>
      </w:tr>
      <w:tr>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2128"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总</w:t>
            </w:r>
          </w:p>
          <w:p>
            <w:pPr>
              <w:jc w:val="center"/>
              <w:rPr>
                <w:rFonts w:eastAsia="宋体"/>
                <w:sz w:val="20"/>
                <w:szCs w:val="20"/>
              </w:rPr>
            </w:pPr>
            <w:r>
              <w:rPr>
                <w:rFonts w:hint="eastAsia"/>
                <w:sz w:val="20"/>
                <w:szCs w:val="20"/>
              </w:rPr>
              <w:t>体</w:t>
            </w:r>
          </w:p>
          <w:p>
            <w:pPr>
              <w:jc w:val="center"/>
              <w:rPr>
                <w:rFonts w:eastAsia="宋体"/>
                <w:sz w:val="20"/>
                <w:szCs w:val="20"/>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pPr>
              <w:jc w:val="center"/>
              <w:rPr>
                <w:rFonts w:ascii="宋体" w:hAnsi="宋体" w:cs="宋体"/>
                <w:sz w:val="20"/>
                <w:szCs w:val="20"/>
              </w:rPr>
            </w:pPr>
            <w:r>
              <w:rPr>
                <w:rFonts w:hint="eastAsia"/>
                <w:sz w:val="20"/>
                <w:szCs w:val="20"/>
              </w:rPr>
              <w:t>中期目标（2022年—2025年）</w:t>
            </w:r>
          </w:p>
        </w:tc>
        <w:tc>
          <w:tcPr>
            <w:tcW w:w="3497"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tcPr>
          <w:p>
            <w:pPr>
              <w:rPr>
                <w:rFonts w:eastAsia="宋体"/>
                <w:sz w:val="20"/>
                <w:szCs w:val="20"/>
              </w:rPr>
            </w:pPr>
            <w:r>
              <w:rPr>
                <w:rFonts w:hint="eastAsia"/>
                <w:sz w:val="20"/>
                <w:szCs w:val="20"/>
              </w:rPr>
              <w:t xml:space="preserve"> 目标1：主要承担市政府法制咨询服务工作；受市政府委托，组织有关专家、学者参与市政府主要决策的咨询论证，提供相关法律和政策依据；草拟、修改、审核以市政府名义签订的合同、协议以及其他有关法律事务的文书。</w:t>
            </w:r>
          </w:p>
          <w:p>
            <w:pPr>
              <w:rPr>
                <w:rFonts w:eastAsia="宋体"/>
                <w:sz w:val="20"/>
                <w:szCs w:val="20"/>
              </w:rPr>
            </w:pPr>
            <w:r>
              <w:rPr>
                <w:rFonts w:hint="eastAsia"/>
                <w:sz w:val="20"/>
                <w:szCs w:val="20"/>
              </w:rPr>
              <w:t>目标1：淮北市法律援助中心全年办理案件不低于260件目标</w:t>
            </w:r>
          </w:p>
          <w:p>
            <w:pPr>
              <w:rPr>
                <w:sz w:val="20"/>
                <w:szCs w:val="20"/>
              </w:rPr>
            </w:pPr>
            <w:r>
              <w:rPr>
                <w:rFonts w:hint="eastAsia"/>
                <w:sz w:val="20"/>
                <w:szCs w:val="20"/>
              </w:rPr>
              <w:t xml:space="preserve"> 目标2：法律援助案件质量要符合中央和省案件质量评查标准</w:t>
            </w:r>
          </w:p>
          <w:p>
            <w:pPr>
              <w:rPr>
                <w:rFonts w:eastAsia="宋体"/>
                <w:sz w:val="20"/>
                <w:szCs w:val="20"/>
              </w:rPr>
            </w:pPr>
            <w:r>
              <w:rPr>
                <w:rFonts w:hint="eastAsia"/>
                <w:sz w:val="20"/>
                <w:szCs w:val="20"/>
              </w:rPr>
              <w:t>目标3：开展民生工程各项工作，为农民工、老年人、妇女、残疾人、未成年人、军人军属各类困难群体开展法律援助帮助。</w:t>
            </w:r>
          </w:p>
          <w:p>
            <w:pPr>
              <w:pStyle w:val="7"/>
              <w:ind w:left="420"/>
            </w:pPr>
          </w:p>
        </w:tc>
        <w:tc>
          <w:tcPr>
            <w:tcW w:w="3497" w:type="dxa"/>
            <w:gridSpan w:val="4"/>
            <w:tcBorders>
              <w:top w:val="single" w:color="auto" w:sz="4" w:space="0"/>
              <w:left w:val="single" w:color="auto" w:sz="4" w:space="0"/>
              <w:bottom w:val="single" w:color="auto" w:sz="4" w:space="0"/>
              <w:right w:val="single" w:color="000000" w:sz="4" w:space="0"/>
            </w:tcBorders>
          </w:tcPr>
          <w:p>
            <w:pPr>
              <w:rPr>
                <w:rFonts w:eastAsia="宋体"/>
                <w:sz w:val="20"/>
                <w:szCs w:val="20"/>
              </w:rPr>
            </w:pPr>
            <w:r>
              <w:rPr>
                <w:rFonts w:hint="eastAsia"/>
                <w:sz w:val="20"/>
                <w:szCs w:val="20"/>
              </w:rPr>
              <w:t>目标1：淮北市法律援助中心全年办理案件不低于260件目标</w:t>
            </w:r>
          </w:p>
          <w:p>
            <w:pPr>
              <w:rPr>
                <w:sz w:val="20"/>
                <w:szCs w:val="20"/>
              </w:rPr>
            </w:pPr>
            <w:r>
              <w:rPr>
                <w:rFonts w:hint="eastAsia"/>
                <w:sz w:val="20"/>
                <w:szCs w:val="20"/>
              </w:rPr>
              <w:t xml:space="preserve"> 目标2：法律援助案件质量要符合中央和省案件质量评查标准</w:t>
            </w:r>
          </w:p>
          <w:p>
            <w:pPr>
              <w:rPr>
                <w:rFonts w:eastAsia="宋体"/>
                <w:sz w:val="20"/>
                <w:szCs w:val="20"/>
              </w:rPr>
            </w:pPr>
            <w:r>
              <w:rPr>
                <w:rFonts w:hint="eastAsia"/>
                <w:sz w:val="20"/>
                <w:szCs w:val="20"/>
              </w:rPr>
              <w:t>目标3：开展民生工程各项工作，为农民工、老年人、妇女、残疾人、未成年人、军人军属各类困难群体开展法律援助帮助。</w:t>
            </w:r>
          </w:p>
          <w:p>
            <w:pPr>
              <w:pStyle w:val="7"/>
              <w:ind w:left="420"/>
            </w:pP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绩</w:t>
            </w:r>
          </w:p>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vAlign w:val="center"/>
          </w:tcPr>
          <w:p>
            <w:pPr>
              <w:jc w:val="center"/>
              <w:rPr>
                <w:rFonts w:eastAsia="宋体"/>
                <w:sz w:val="20"/>
                <w:szCs w:val="20"/>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三级指标</w:t>
            </w:r>
          </w:p>
        </w:tc>
        <w:tc>
          <w:tcPr>
            <w:tcW w:w="120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928"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c>
          <w:tcPr>
            <w:tcW w:w="677"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40" w:type="dxa"/>
            <w:tcBorders>
              <w:top w:val="nil"/>
              <w:left w:val="nil"/>
              <w:bottom w:val="single" w:color="auto" w:sz="4" w:space="0"/>
              <w:right w:val="nil"/>
            </w:tcBorders>
            <w:vAlign w:val="center"/>
          </w:tcPr>
          <w:p>
            <w:pPr>
              <w:jc w:val="center"/>
              <w:rPr>
                <w:rFonts w:ascii="宋体" w:hAnsi="宋体" w:cs="宋体"/>
                <w:sz w:val="20"/>
                <w:szCs w:val="20"/>
              </w:rPr>
            </w:pPr>
            <w:r>
              <w:rPr>
                <w:rFonts w:hint="eastAsia"/>
                <w:sz w:val="20"/>
                <w:szCs w:val="20"/>
              </w:rPr>
              <w:t>三级指标</w:t>
            </w:r>
          </w:p>
        </w:tc>
        <w:tc>
          <w:tcPr>
            <w:tcW w:w="840" w:type="dxa"/>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84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r>
      <w:tr>
        <w:trPr>
          <w:trHeight w:val="1347"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产</w:t>
            </w:r>
          </w:p>
          <w:p>
            <w:pPr>
              <w:jc w:val="center"/>
              <w:rPr>
                <w:rFonts w:eastAsia="宋体"/>
                <w:sz w:val="20"/>
                <w:szCs w:val="20"/>
              </w:rPr>
            </w:pPr>
            <w:r>
              <w:rPr>
                <w:rFonts w:hint="eastAsia"/>
                <w:sz w:val="20"/>
                <w:szCs w:val="20"/>
              </w:rPr>
              <w:t>出</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tcPr>
          <w:p>
            <w:pPr>
              <w:rPr>
                <w:rFonts w:ascii="宋体" w:hAnsi="宋体" w:cs="宋体"/>
                <w:sz w:val="20"/>
                <w:szCs w:val="20"/>
              </w:rPr>
            </w:pPr>
            <w:r>
              <w:rPr>
                <w:rFonts w:hint="eastAsia"/>
                <w:sz w:val="20"/>
                <w:szCs w:val="20"/>
              </w:rPr>
              <w:t xml:space="preserve"> 指标1：</w:t>
            </w:r>
            <w:r>
              <w:rPr>
                <w:rFonts w:hint="eastAsia" w:ascii="宋体" w:hAnsi="宋体" w:cs="宋体"/>
                <w:color w:val="000000"/>
                <w:kern w:val="0"/>
                <w:sz w:val="18"/>
                <w:szCs w:val="18"/>
                <w:lang w:bidi="ar"/>
              </w:rPr>
              <w:t>全年办理案件不低于340件目标</w:t>
            </w:r>
          </w:p>
        </w:tc>
        <w:tc>
          <w:tcPr>
            <w:tcW w:w="1200" w:type="dxa"/>
            <w:tcBorders>
              <w:top w:val="nil"/>
              <w:left w:val="nil"/>
              <w:bottom w:val="single" w:color="auto" w:sz="4" w:space="0"/>
              <w:right w:val="single" w:color="auto" w:sz="4" w:space="0"/>
            </w:tcBorders>
          </w:tcPr>
          <w:p>
            <w:pPr>
              <w:rPr>
                <w:rFonts w:ascii="宋体" w:hAnsi="宋体" w:cs="宋体"/>
                <w:sz w:val="20"/>
                <w:szCs w:val="20"/>
              </w:rPr>
            </w:pPr>
            <w:r>
              <w:rPr>
                <w:rFonts w:hint="eastAsia" w:ascii="宋体" w:hAnsi="宋体" w:cs="宋体"/>
                <w:color w:val="000000"/>
                <w:kern w:val="0"/>
                <w:sz w:val="18"/>
                <w:szCs w:val="18"/>
                <w:lang w:bidi="ar"/>
              </w:rPr>
              <w:t>全年办理案件不低于340件目标</w:t>
            </w:r>
          </w:p>
        </w:tc>
        <w:tc>
          <w:tcPr>
            <w:tcW w:w="928" w:type="dxa"/>
            <w:tcBorders>
              <w:top w:val="nil"/>
              <w:left w:val="nil"/>
              <w:bottom w:val="single" w:color="auto" w:sz="4" w:space="0"/>
              <w:right w:val="single" w:color="auto" w:sz="4" w:space="0"/>
            </w:tcBorders>
          </w:tcPr>
          <w:p>
            <w:pPr>
              <w:rPr>
                <w:rFonts w:ascii="宋体" w:hAnsi="宋体" w:cs="宋体"/>
                <w:sz w:val="20"/>
                <w:szCs w:val="20"/>
              </w:rPr>
            </w:pPr>
            <w:r>
              <w:rPr>
                <w:rFonts w:hint="eastAsia" w:ascii="宋体" w:hAnsi="宋体" w:cs="宋体"/>
                <w:color w:val="000000"/>
                <w:kern w:val="0"/>
                <w:sz w:val="18"/>
                <w:szCs w:val="18"/>
                <w:lang w:bidi="ar"/>
              </w:rPr>
              <w:t>全年办理案件不低于340件</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 xml:space="preserve"> 指标1：</w:t>
            </w:r>
            <w:r>
              <w:rPr>
                <w:rFonts w:hint="eastAsia" w:ascii="宋体" w:hAnsi="宋体" w:cs="宋体"/>
                <w:color w:val="000000"/>
                <w:kern w:val="0"/>
                <w:sz w:val="18"/>
                <w:szCs w:val="18"/>
                <w:lang w:bidi="ar"/>
              </w:rPr>
              <w:t>全年办理案件不低于340件目标</w:t>
            </w:r>
          </w:p>
        </w:tc>
        <w:tc>
          <w:tcPr>
            <w:tcW w:w="840"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ascii="宋体" w:hAnsi="宋体" w:cs="宋体"/>
                <w:color w:val="000000"/>
                <w:kern w:val="0"/>
                <w:sz w:val="18"/>
                <w:szCs w:val="18"/>
                <w:lang w:bidi="ar"/>
              </w:rPr>
              <w:t>全年办理案件不低于340件目标</w:t>
            </w:r>
          </w:p>
        </w:tc>
        <w:tc>
          <w:tcPr>
            <w:tcW w:w="840"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ascii="宋体" w:hAnsi="宋体" w:cs="宋体"/>
                <w:color w:val="000000"/>
                <w:kern w:val="0"/>
                <w:sz w:val="18"/>
                <w:szCs w:val="18"/>
                <w:lang w:bidi="ar"/>
              </w:rPr>
              <w:t>全年办理案件不低于340件</w:t>
            </w:r>
          </w:p>
        </w:tc>
      </w:tr>
      <w:tr>
        <w:tblPrEx>
          <w:tblCellMar>
            <w:top w:w="0" w:type="dxa"/>
            <w:left w:w="108" w:type="dxa"/>
            <w:bottom w:w="0" w:type="dxa"/>
            <w:right w:w="108" w:type="dxa"/>
          </w:tblCellMar>
        </w:tblPrEx>
        <w:trPr>
          <w:trHeight w:val="124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指标1：</w:t>
            </w:r>
            <w:r>
              <w:rPr>
                <w:rFonts w:hint="eastAsia" w:ascii="宋体" w:hAnsi="宋体" w:cs="宋体"/>
                <w:color w:val="000000"/>
                <w:kern w:val="0"/>
                <w:sz w:val="18"/>
                <w:szCs w:val="18"/>
                <w:lang w:bidi="ar"/>
              </w:rPr>
              <w:t>法律援助案件质量要符合中央和省案件质量评查标准</w:t>
            </w:r>
          </w:p>
        </w:tc>
        <w:tc>
          <w:tcPr>
            <w:tcW w:w="1200" w:type="dxa"/>
            <w:tcBorders>
              <w:top w:val="single" w:color="auto" w:sz="4" w:space="0"/>
              <w:left w:val="nil"/>
              <w:bottom w:val="nil"/>
              <w:right w:val="single" w:color="auto" w:sz="4" w:space="0"/>
            </w:tcBorders>
          </w:tcPr>
          <w:p>
            <w:pPr>
              <w:rPr>
                <w:rFonts w:ascii="宋体" w:hAnsi="宋体" w:cs="宋体"/>
                <w:sz w:val="20"/>
                <w:szCs w:val="20"/>
              </w:rPr>
            </w:pPr>
            <w:r>
              <w:rPr>
                <w:rFonts w:hint="eastAsia" w:ascii="宋体" w:hAnsi="宋体" w:cs="宋体"/>
                <w:color w:val="000000"/>
                <w:kern w:val="0"/>
                <w:sz w:val="18"/>
                <w:szCs w:val="18"/>
                <w:lang w:bidi="ar"/>
              </w:rPr>
              <w:t>法律援助案件质量要符合中央和省案件质量评查标准</w:t>
            </w:r>
          </w:p>
        </w:tc>
        <w:tc>
          <w:tcPr>
            <w:tcW w:w="928" w:type="dxa"/>
            <w:tcBorders>
              <w:top w:val="single" w:color="auto" w:sz="4" w:space="0"/>
              <w:left w:val="nil"/>
              <w:bottom w:val="nil"/>
              <w:right w:val="single" w:color="auto" w:sz="4" w:space="0"/>
            </w:tcBorders>
          </w:tcPr>
          <w:p>
            <w:pPr>
              <w:rPr>
                <w:rFonts w:ascii="宋体" w:hAnsi="宋体" w:cs="宋体"/>
                <w:sz w:val="20"/>
                <w:szCs w:val="20"/>
              </w:rPr>
            </w:pPr>
            <w:r>
              <w:rPr>
                <w:rFonts w:hint="eastAsia"/>
                <w:sz w:val="20"/>
                <w:szCs w:val="20"/>
              </w:rPr>
              <w:t>保质保量完成绩效目标</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sz w:val="20"/>
                <w:szCs w:val="20"/>
              </w:rPr>
              <w:t xml:space="preserve"> 指标1：</w:t>
            </w:r>
          </w:p>
          <w:p>
            <w:pPr>
              <w:rPr>
                <w:rFonts w:ascii="宋体" w:hAnsi="宋体" w:cs="宋体"/>
                <w:sz w:val="20"/>
                <w:szCs w:val="20"/>
              </w:rPr>
            </w:pPr>
            <w:r>
              <w:rPr>
                <w:rFonts w:hint="eastAsia" w:ascii="宋体" w:hAnsi="宋体" w:cs="宋体"/>
                <w:color w:val="000000"/>
                <w:kern w:val="0"/>
                <w:sz w:val="18"/>
                <w:szCs w:val="18"/>
                <w:lang w:bidi="ar"/>
              </w:rPr>
              <w:t>法律援助案件质量要符合中央和省案件质量评查标准</w:t>
            </w:r>
          </w:p>
        </w:tc>
        <w:tc>
          <w:tcPr>
            <w:tcW w:w="840" w:type="dxa"/>
            <w:tcBorders>
              <w:top w:val="single" w:color="auto" w:sz="4" w:space="0"/>
              <w:left w:val="nil"/>
              <w:bottom w:val="single" w:color="auto" w:sz="4" w:space="0"/>
              <w:right w:val="single" w:color="auto" w:sz="4" w:space="0"/>
            </w:tcBorders>
          </w:tcPr>
          <w:p>
            <w:pPr>
              <w:rPr>
                <w:rFonts w:ascii="宋体" w:hAnsi="宋体" w:cs="宋体"/>
                <w:sz w:val="20"/>
                <w:szCs w:val="20"/>
              </w:rPr>
            </w:pPr>
            <w:r>
              <w:rPr>
                <w:rFonts w:hint="eastAsia" w:ascii="宋体" w:hAnsi="宋体" w:cs="宋体"/>
                <w:color w:val="000000"/>
                <w:kern w:val="0"/>
                <w:sz w:val="18"/>
                <w:szCs w:val="18"/>
                <w:lang w:bidi="ar"/>
              </w:rPr>
              <w:t>法律援助案件质量要符合中央和省案件质量评查标准</w:t>
            </w:r>
          </w:p>
        </w:tc>
        <w:tc>
          <w:tcPr>
            <w:tcW w:w="840" w:type="dxa"/>
            <w:tcBorders>
              <w:top w:val="single" w:color="auto" w:sz="4" w:space="0"/>
              <w:left w:val="nil"/>
              <w:bottom w:val="single" w:color="auto" w:sz="4" w:space="0"/>
              <w:right w:val="single" w:color="auto" w:sz="4" w:space="0"/>
            </w:tcBorders>
          </w:tcPr>
          <w:p>
            <w:pPr>
              <w:rPr>
                <w:rFonts w:ascii="宋体" w:hAnsi="宋体" w:cs="宋体"/>
                <w:sz w:val="20"/>
                <w:szCs w:val="20"/>
              </w:rPr>
            </w:pPr>
            <w:r>
              <w:rPr>
                <w:rFonts w:hint="eastAsia"/>
                <w:sz w:val="20"/>
                <w:szCs w:val="20"/>
              </w:rPr>
              <w:t>保质保量完成绩效目标</w:t>
            </w:r>
          </w:p>
        </w:tc>
      </w:tr>
      <w:tr>
        <w:tblPrEx>
          <w:tblCellMar>
            <w:top w:w="0" w:type="dxa"/>
            <w:left w:w="108" w:type="dxa"/>
            <w:bottom w:w="0" w:type="dxa"/>
            <w:right w:w="108" w:type="dxa"/>
          </w:tblCellMar>
        </w:tblPrEx>
        <w:trPr>
          <w:trHeight w:val="212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nil"/>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nil"/>
              <w:right w:val="single" w:color="auto" w:sz="4" w:space="0"/>
            </w:tcBorders>
            <w:vAlign w:val="center"/>
          </w:tcPr>
          <w:p>
            <w:pPr>
              <w:rPr>
                <w:rFonts w:ascii="宋体" w:hAnsi="宋体" w:cs="宋体"/>
                <w:sz w:val="20"/>
                <w:szCs w:val="20"/>
              </w:rPr>
            </w:pPr>
            <w:r>
              <w:rPr>
                <w:rFonts w:hint="eastAsia"/>
                <w:sz w:val="20"/>
                <w:szCs w:val="20"/>
              </w:rPr>
              <w:t>指标1：是否资金及时到位</w:t>
            </w:r>
          </w:p>
        </w:tc>
        <w:tc>
          <w:tcPr>
            <w:tcW w:w="1200" w:type="dxa"/>
            <w:tcBorders>
              <w:top w:val="single" w:color="auto" w:sz="4" w:space="0"/>
              <w:left w:val="nil"/>
              <w:bottom w:val="nil"/>
              <w:right w:val="single" w:color="auto" w:sz="4" w:space="0"/>
            </w:tcBorders>
            <w:vAlign w:val="center"/>
          </w:tcPr>
          <w:p>
            <w:pPr>
              <w:rPr>
                <w:rFonts w:ascii="宋体" w:hAnsi="宋体" w:cs="宋体"/>
                <w:sz w:val="20"/>
                <w:szCs w:val="20"/>
              </w:rPr>
            </w:pPr>
            <w:r>
              <w:rPr>
                <w:rFonts w:hint="eastAsia"/>
                <w:sz w:val="20"/>
                <w:szCs w:val="20"/>
              </w:rPr>
              <w:t>按照年度预算安排，资金拨付到位</w:t>
            </w:r>
          </w:p>
        </w:tc>
        <w:tc>
          <w:tcPr>
            <w:tcW w:w="928" w:type="dxa"/>
            <w:tcBorders>
              <w:top w:val="single" w:color="auto" w:sz="4" w:space="0"/>
              <w:left w:val="nil"/>
              <w:bottom w:val="nil"/>
              <w:right w:val="single" w:color="auto" w:sz="4" w:space="0"/>
            </w:tcBorders>
            <w:vAlign w:val="center"/>
          </w:tcPr>
          <w:p>
            <w:pPr>
              <w:rPr>
                <w:rFonts w:ascii="宋体" w:hAnsi="宋体" w:cs="宋体"/>
                <w:sz w:val="20"/>
                <w:szCs w:val="20"/>
              </w:rPr>
            </w:pPr>
            <w:r>
              <w:rPr>
                <w:rFonts w:hint="eastAsia"/>
                <w:sz w:val="20"/>
                <w:szCs w:val="20"/>
              </w:rPr>
              <w:t>按照年度预算安排，资金拨付到位　</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指标1：是否资金及时到位</w:t>
            </w:r>
          </w:p>
          <w:p>
            <w:pPr>
              <w:rPr>
                <w:rFonts w:ascii="宋体" w:hAnsi="宋体" w:cs="宋体"/>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　按照年度预算安排，资金拨付到位</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　按照年度预算安排，资金拨付到位</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指标1：是否在预定成本控制范围</w:t>
            </w:r>
          </w:p>
        </w:tc>
        <w:tc>
          <w:tcPr>
            <w:tcW w:w="120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928"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677"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指标1：是否在预定成本控制范围</w:t>
            </w:r>
          </w:p>
        </w:tc>
        <w:tc>
          <w:tcPr>
            <w:tcW w:w="8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8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r>
      <w:tr>
        <w:trPr>
          <w:trHeight w:val="2181" w:hRule="atLeast"/>
        </w:trPr>
        <w:tc>
          <w:tcPr>
            <w:tcW w:w="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益</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经济效益指标</w:t>
            </w:r>
          </w:p>
        </w:tc>
        <w:tc>
          <w:tcPr>
            <w:tcW w:w="1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120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928"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提供全方位的法律服务，保证了项目的顺利进行　</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提供全方位的法律服务，保证了项目的顺利进行</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社会效益指标</w:t>
            </w:r>
          </w:p>
        </w:tc>
        <w:tc>
          <w:tcPr>
            <w:tcW w:w="1523" w:type="dxa"/>
            <w:vMerge w:val="restart"/>
            <w:tcBorders>
              <w:top w:val="single" w:color="auto" w:sz="4" w:space="0"/>
              <w:left w:val="single" w:color="auto" w:sz="4" w:space="0"/>
              <w:right w:val="single" w:color="auto" w:sz="4" w:space="0"/>
            </w:tcBorders>
            <w:vAlign w:val="center"/>
          </w:tcPr>
          <w:p>
            <w:pPr>
              <w:rPr>
                <w:sz w:val="20"/>
                <w:szCs w:val="20"/>
              </w:rPr>
            </w:pPr>
            <w:r>
              <w:rPr>
                <w:rFonts w:hint="eastAsia"/>
                <w:sz w:val="20"/>
                <w:szCs w:val="20"/>
              </w:rPr>
              <w:t xml:space="preserve"> 指标1：项目实施是否产生社会综合效益</w:t>
            </w:r>
          </w:p>
          <w:p>
            <w:pPr>
              <w:rPr>
                <w:rFonts w:ascii="宋体" w:hAnsi="宋体" w:cs="宋体"/>
                <w:sz w:val="20"/>
                <w:szCs w:val="20"/>
              </w:rPr>
            </w:pPr>
          </w:p>
        </w:tc>
        <w:tc>
          <w:tcPr>
            <w:tcW w:w="120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开展民生工程各项工作，为农民工、老年人、妇女、残疾人、未成年人、军人军属各类困难群体开展法律援助帮助。</w:t>
            </w:r>
            <w:r>
              <w:rPr>
                <w:rFonts w:hint="eastAsia"/>
                <w:sz w:val="20"/>
                <w:szCs w:val="20"/>
              </w:rPr>
              <w:t>　</w:t>
            </w:r>
          </w:p>
        </w:tc>
        <w:tc>
          <w:tcPr>
            <w:tcW w:w="928"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sz w:val="20"/>
                <w:szCs w:val="20"/>
              </w:rPr>
              <w:t>　</w:t>
            </w:r>
            <w:r>
              <w:rPr>
                <w:rFonts w:hint="eastAsia" w:ascii="宋体" w:hAnsi="宋体" w:cs="宋体"/>
                <w:color w:val="000000"/>
                <w:kern w:val="0"/>
                <w:sz w:val="18"/>
                <w:szCs w:val="18"/>
                <w:lang w:bidi="ar"/>
              </w:rPr>
              <w:t>为农民工、老年人、妇女、残疾人、未成年人、军人军属各类困难群体开展法律援助帮助</w:t>
            </w:r>
            <w:r>
              <w:rPr>
                <w:rFonts w:hint="eastAsia"/>
                <w:sz w:val="20"/>
                <w:szCs w:val="20"/>
              </w:rPr>
              <w:t>　</w:t>
            </w:r>
          </w:p>
        </w:tc>
        <w:tc>
          <w:tcPr>
            <w:tcW w:w="677" w:type="dxa"/>
            <w:vMerge w:val="restart"/>
            <w:tcBorders>
              <w:top w:val="single" w:color="auto" w:sz="4" w:space="0"/>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1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 xml:space="preserve"> 指标1：项目实施是否产生社会综合效益</w:t>
            </w: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sz w:val="15"/>
                <w:szCs w:val="15"/>
              </w:rPr>
              <w:t>　</w:t>
            </w:r>
            <w:r>
              <w:rPr>
                <w:rFonts w:hint="eastAsia" w:ascii="宋体" w:hAnsi="宋体" w:cs="宋体"/>
                <w:color w:val="000000"/>
                <w:kern w:val="0"/>
                <w:sz w:val="15"/>
                <w:szCs w:val="15"/>
                <w:lang w:bidi="ar"/>
              </w:rPr>
              <w:t>开展民生工程各项工作，为农民工、老年人、妇女、残疾人、未成年人、军人军属各类困难群体开展法律援助帮助</w:t>
            </w:r>
            <w:r>
              <w:rPr>
                <w:rFonts w:hint="eastAsia" w:ascii="宋体" w:hAnsi="宋体" w:cs="宋体"/>
                <w:color w:val="000000"/>
                <w:kern w:val="0"/>
                <w:sz w:val="18"/>
                <w:szCs w:val="18"/>
                <w:lang w:bidi="ar"/>
              </w:rPr>
              <w:t>。</w:t>
            </w:r>
            <w:r>
              <w:rPr>
                <w:rFonts w:hint="eastAsia"/>
                <w:sz w:val="20"/>
                <w:szCs w:val="20"/>
              </w:rPr>
              <w:t>　</w:t>
            </w:r>
          </w:p>
        </w:tc>
        <w:tc>
          <w:tcPr>
            <w:tcW w:w="840" w:type="dxa"/>
            <w:tcBorders>
              <w:top w:val="single" w:color="auto" w:sz="4" w:space="0"/>
              <w:left w:val="single" w:color="auto" w:sz="4" w:space="0"/>
              <w:bottom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为农民工、老年人、妇女、残疾人、未成年人、军人军属各类困难群体开展法律援助帮助</w:t>
            </w:r>
            <w:r>
              <w:rPr>
                <w:rFonts w:hint="eastAsia"/>
                <w:sz w:val="20"/>
                <w:szCs w:val="20"/>
              </w:rPr>
              <w:t>　</w:t>
            </w:r>
          </w:p>
        </w:tc>
      </w:tr>
      <w:tr>
        <w:tblPrEx>
          <w:tblCellMar>
            <w:top w:w="0" w:type="dxa"/>
            <w:left w:w="108" w:type="dxa"/>
            <w:bottom w:w="0" w:type="dxa"/>
            <w:right w:w="108" w:type="dxa"/>
          </w:tblCellMar>
        </w:tblPrEx>
        <w:trPr>
          <w:trHeight w:val="9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single" w:color="auto" w:sz="4" w:space="0"/>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523" w:type="dxa"/>
            <w:vMerge w:val="restart"/>
            <w:tcBorders>
              <w:top w:val="nil"/>
              <w:left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120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tc>
        <w:tc>
          <w:tcPr>
            <w:tcW w:w="928"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tc>
        <w:tc>
          <w:tcPr>
            <w:tcW w:w="677"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140" w:type="dxa"/>
            <w:tcBorders>
              <w:top w:val="single" w:color="auto" w:sz="4" w:space="0"/>
              <w:left w:val="single" w:color="auto" w:sz="4" w:space="0"/>
              <w:bottom w:val="nil"/>
              <w:right w:val="single" w:color="auto" w:sz="4" w:space="0"/>
            </w:tcBorders>
            <w:vAlign w:val="center"/>
          </w:tcPr>
          <w:p>
            <w:pPr>
              <w:rPr>
                <w:rFonts w:ascii="宋体" w:hAnsi="宋体" w:cs="宋体"/>
                <w:sz w:val="20"/>
                <w:szCs w:val="20"/>
              </w:rPr>
            </w:pPr>
            <w:r>
              <w:rPr>
                <w:rFonts w:hint="eastAsia"/>
                <w:sz w:val="20"/>
                <w:szCs w:val="20"/>
              </w:rPr>
              <w:t xml:space="preserve"> 指标1：是否对当地生态环境造成影响</w:t>
            </w:r>
          </w:p>
        </w:tc>
        <w:tc>
          <w:tcPr>
            <w:tcW w:w="840" w:type="dxa"/>
            <w:vMerge w:val="restart"/>
            <w:tcBorders>
              <w:top w:val="nil"/>
              <w:left w:val="nil"/>
              <w:right w:val="single" w:color="auto" w:sz="4" w:space="0"/>
            </w:tcBorders>
            <w:vAlign w:val="center"/>
          </w:tcPr>
          <w:p>
            <w:pPr>
              <w:rPr>
                <w:rFonts w:ascii="宋体" w:hAnsi="宋体" w:cs="宋体"/>
                <w:sz w:val="20"/>
                <w:szCs w:val="20"/>
              </w:rPr>
            </w:pPr>
            <w:r>
              <w:rPr>
                <w:rFonts w:hint="eastAsia"/>
                <w:sz w:val="20"/>
                <w:szCs w:val="20"/>
              </w:rPr>
              <w:t>　不对周边生态环境带来影响</w:t>
            </w:r>
          </w:p>
        </w:tc>
        <w:tc>
          <w:tcPr>
            <w:tcW w:w="84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rPr>
              <w:t>不对周边生态环境带来影响</w:t>
            </w:r>
          </w:p>
        </w:tc>
      </w:tr>
      <w:tr>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指标1：项目实施后一定时期内是否有可持续影响</w:t>
            </w:r>
          </w:p>
        </w:tc>
        <w:tc>
          <w:tcPr>
            <w:tcW w:w="120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积极拓展法律援助工作，努力维护弱势群体的合法权益，得到了群众的广泛认可</w:t>
            </w:r>
          </w:p>
        </w:tc>
        <w:tc>
          <w:tcPr>
            <w:tcW w:w="92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积极拓展法律援助工作，努力维护弱势群体的合法权益，得到了群众的广泛认可</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指标1：项目实施后一定时期内是否有可持续影响</w:t>
            </w:r>
          </w:p>
        </w:tc>
        <w:tc>
          <w:tcPr>
            <w:tcW w:w="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积极拓展法律援助工作，努力维护弱势群体的合法权益，得到了群众的广泛认可</w:t>
            </w:r>
          </w:p>
        </w:tc>
        <w:tc>
          <w:tcPr>
            <w:tcW w:w="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积极拓展法律援助工作，努力维护弱势群体的合法权益，得到了群众的广泛认可</w:t>
            </w:r>
          </w:p>
        </w:tc>
      </w:tr>
      <w:tr>
        <w:tblPrEx>
          <w:tblCellMar>
            <w:top w:w="0" w:type="dxa"/>
            <w:left w:w="108" w:type="dxa"/>
            <w:bottom w:w="0" w:type="dxa"/>
            <w:right w:w="108" w:type="dxa"/>
          </w:tblCellMar>
        </w:tblPrEx>
        <w:trPr>
          <w:trHeight w:val="2059"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服务对象满意度指标</w:t>
            </w:r>
          </w:p>
          <w:p>
            <w:pPr>
              <w:jc w:val="center"/>
              <w:rPr>
                <w:rFonts w:ascii="宋体" w:hAnsi="宋体" w:cs="宋体"/>
                <w:sz w:val="20"/>
                <w:szCs w:val="20"/>
              </w:rPr>
            </w:pPr>
          </w:p>
        </w:tc>
        <w:tc>
          <w:tcPr>
            <w:tcW w:w="1523"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r>
              <w:rPr>
                <w:rFonts w:hint="eastAsia"/>
                <w:sz w:val="20"/>
                <w:szCs w:val="20"/>
              </w:rPr>
              <w:t>　</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sz w:val="20"/>
                <w:szCs w:val="20"/>
              </w:rPr>
            </w:pPr>
            <w:r>
              <w:rPr>
                <w:rFonts w:hint="eastAsia"/>
                <w:sz w:val="20"/>
                <w:szCs w:val="20"/>
              </w:rPr>
              <w:t>度指标</w:t>
            </w:r>
          </w:p>
          <w:p>
            <w:pPr>
              <w:jc w:val="center"/>
              <w:rPr>
                <w:rFonts w:ascii="宋体" w:hAnsi="宋体" w:cs="宋体"/>
                <w:sz w:val="20"/>
                <w:szCs w:val="20"/>
              </w:rPr>
            </w:pPr>
          </w:p>
        </w:tc>
        <w:tc>
          <w:tcPr>
            <w:tcW w:w="11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p>
        </w:tc>
      </w:tr>
    </w:tbl>
    <w:p>
      <w:pPr>
        <w:adjustRightInd w:val="0"/>
        <w:snapToGrid w:val="0"/>
        <w:spacing w:line="600" w:lineRule="exact"/>
        <w:ind w:firstLine="803" w:firstLineChars="250"/>
        <w:rPr>
          <w:rFonts w:ascii="仿宋_GB2312" w:hAnsi="楷体" w:eastAsia="仿宋_GB2312" w:cs="Times New Roman"/>
          <w:b/>
          <w:sz w:val="32"/>
          <w:szCs w:val="32"/>
        </w:rPr>
      </w:pPr>
    </w:p>
    <w:tbl>
      <w:tblPr>
        <w:tblStyle w:val="8"/>
        <w:tblW w:w="9324" w:type="dxa"/>
        <w:tblInd w:w="93" w:type="dxa"/>
        <w:tblLayout w:type="fixed"/>
        <w:tblCellMar>
          <w:top w:w="0" w:type="dxa"/>
          <w:left w:w="108" w:type="dxa"/>
          <w:bottom w:w="0" w:type="dxa"/>
          <w:right w:w="108" w:type="dxa"/>
        </w:tblCellMar>
      </w:tblPr>
      <w:tblGrid>
        <w:gridCol w:w="416"/>
        <w:gridCol w:w="820"/>
        <w:gridCol w:w="940"/>
        <w:gridCol w:w="1523"/>
        <w:gridCol w:w="1200"/>
        <w:gridCol w:w="928"/>
        <w:gridCol w:w="677"/>
        <w:gridCol w:w="1140"/>
        <w:gridCol w:w="840"/>
        <w:gridCol w:w="840"/>
      </w:tblGrid>
      <w:tr>
        <w:tblPrEx>
          <w:tblCellMar>
            <w:top w:w="0" w:type="dxa"/>
            <w:left w:w="108" w:type="dxa"/>
            <w:bottom w:w="0" w:type="dxa"/>
            <w:right w:w="108" w:type="dxa"/>
          </w:tblCellMar>
        </w:tblPrEx>
        <w:trPr>
          <w:trHeight w:val="360" w:hRule="atLeast"/>
        </w:trPr>
        <w:tc>
          <w:tcPr>
            <w:tcW w:w="9324" w:type="dxa"/>
            <w:gridSpan w:val="10"/>
            <w:tcBorders>
              <w:top w:val="nil"/>
              <w:left w:val="nil"/>
              <w:bottom w:val="nil"/>
              <w:right w:val="nil"/>
            </w:tcBorders>
            <w:vAlign w:val="center"/>
          </w:tcPr>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4.“</w:t>
            </w:r>
            <w:r>
              <w:rPr>
                <w:rFonts w:hint="eastAsia" w:ascii="仿宋" w:hAnsi="仿宋" w:eastAsia="仿宋"/>
                <w:b/>
                <w:color w:val="000000"/>
                <w:sz w:val="32"/>
                <w:szCs w:val="32"/>
              </w:rPr>
              <w:t>司法行政工作经费</w:t>
            </w:r>
            <w:r>
              <w:rPr>
                <w:rFonts w:hint="eastAsia" w:ascii="仿宋_GB2312" w:hAnsi="楷体" w:eastAsia="仿宋_GB2312"/>
                <w:b/>
                <w:sz w:val="32"/>
                <w:szCs w:val="32"/>
              </w:rPr>
              <w:t>”项目。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（1）项目概述。主要包括以下几个方面：</w:t>
            </w:r>
            <w:r>
              <w:rPr>
                <w:rFonts w:hint="eastAsia" w:ascii="仿宋" w:hAnsi="仿宋" w:eastAsia="仿宋"/>
                <w:bCs/>
                <w:color w:val="000000"/>
                <w:sz w:val="32"/>
                <w:szCs w:val="32"/>
              </w:rPr>
              <w:t>1.</w:t>
            </w:r>
            <w:r>
              <w:rPr>
                <w:rFonts w:hint="eastAsia" w:ascii="仿宋_GB2312" w:eastAsia="仿宋_GB2312"/>
                <w:bCs/>
                <w:color w:val="000000"/>
                <w:sz w:val="32"/>
                <w:szCs w:val="32"/>
              </w:rPr>
              <w:t>人民调解经费支出。2.安置帮教经费支出。3.律师参与政府工作专项经费支出。4.社区矫正经费支出。5.行政复议应诉办案经费支出。6.行政执法监督支出。7.立法经费支出。8.合法性审查经费支出。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（2）立项依据。</w:t>
            </w:r>
            <w:r>
              <w:rPr>
                <w:rFonts w:hint="eastAsia" w:ascii="仿宋" w:hAnsi="仿宋" w:eastAsia="仿宋"/>
                <w:color w:val="000000"/>
                <w:sz w:val="32"/>
                <w:szCs w:val="32"/>
              </w:rPr>
              <w:t>省委办公厅《关于开展社区矫正工作的实施意见》；《全国人民代表大会常务委员会关于司法鉴定管理问题的决定》；国家综治委、财政部第8部委《关于进一步做好刑满释放、解除劳教人员就业和社会保障工作的意见》；安徽省人民监督员选任管理方式改革试点工作实施方案；中央政法委《关于建立律师参与化解和代理涉法涉诉信访案件制度的意见》；《人民调解委员会组织条例》；市依法行政工作领导小组会议纪要第1号。</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（3）实施主体：淮北市司法局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（4）起止时间。2024年1月-2024年12月</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（5）项目内容。</w:t>
            </w:r>
            <w:r>
              <w:rPr>
                <w:rFonts w:hint="eastAsia" w:ascii="仿宋" w:hAnsi="仿宋" w:eastAsia="仿宋"/>
                <w:bCs/>
                <w:color w:val="000000"/>
                <w:sz w:val="32"/>
                <w:szCs w:val="32"/>
              </w:rPr>
              <w:t>1.</w:t>
            </w:r>
            <w:r>
              <w:rPr>
                <w:rFonts w:hint="eastAsia" w:ascii="仿宋_GB2312" w:eastAsia="仿宋_GB2312"/>
                <w:bCs/>
                <w:color w:val="000000"/>
                <w:sz w:val="32"/>
                <w:szCs w:val="32"/>
              </w:rPr>
              <w:t>人民调解经费支出。主要用于</w:t>
            </w:r>
            <w:r>
              <w:rPr>
                <w:rFonts w:hint="eastAsia" w:ascii="仿宋_GB2312" w:eastAsia="仿宋_GB2312"/>
                <w:color w:val="000000"/>
                <w:sz w:val="32"/>
                <w:szCs w:val="32"/>
              </w:rPr>
              <w:t>信访纠纷调解委员会和市医疗纠纷调解委员6名聘用人员工资和案件补贴、专家论证以和办公费以及全市人民调解员培训和人民调解宣传、人民监督员和人民陪审员管理培训等费用约20万元。</w:t>
            </w:r>
            <w:r>
              <w:rPr>
                <w:rFonts w:hint="eastAsia" w:ascii="仿宋_GB2312" w:eastAsia="仿宋_GB2312"/>
                <w:bCs/>
                <w:color w:val="000000"/>
                <w:sz w:val="32"/>
                <w:szCs w:val="32"/>
              </w:rPr>
              <w:t>2.安置帮教经费支出。</w:t>
            </w:r>
            <w:r>
              <w:rPr>
                <w:rFonts w:hint="eastAsia" w:ascii="仿宋_GB2312" w:eastAsia="仿宋_GB2312"/>
                <w:color w:val="000000"/>
                <w:sz w:val="32"/>
                <w:szCs w:val="32"/>
              </w:rPr>
              <w:t>包括服刑人员困难家庭帮扶、刑满释放人员必接必送、监狱服刑人员帮扶等费用约1万元。</w:t>
            </w:r>
            <w:r>
              <w:rPr>
                <w:rFonts w:hint="eastAsia" w:ascii="仿宋_GB2312" w:eastAsia="仿宋_GB2312"/>
                <w:bCs/>
                <w:color w:val="000000"/>
                <w:sz w:val="32"/>
                <w:szCs w:val="32"/>
              </w:rPr>
              <w:t>3.律师参与政府工作专项经费支出。包括</w:t>
            </w:r>
            <w:r>
              <w:rPr>
                <w:rFonts w:hint="eastAsia" w:ascii="仿宋_GB2312" w:hAnsi="黑体" w:eastAsia="仿宋_GB2312"/>
                <w:bCs/>
                <w:color w:val="000000"/>
                <w:sz w:val="32"/>
                <w:szCs w:val="32"/>
              </w:rPr>
              <w:t>律师参与化解和代理涉法涉诉信访案件（陪同市领导接访）经费、律师以案释法经费（陪同市领导参加《法在身边》直播栏目）</w:t>
            </w:r>
            <w:r>
              <w:rPr>
                <w:rFonts w:hint="eastAsia" w:ascii="仿宋_GB2312" w:eastAsia="仿宋_GB2312"/>
                <w:bCs/>
                <w:color w:val="000000"/>
                <w:sz w:val="32"/>
                <w:szCs w:val="32"/>
              </w:rPr>
              <w:t>经费，共3万元。4.社区矫正经费支出。主要用于</w:t>
            </w:r>
            <w:r>
              <w:rPr>
                <w:rFonts w:hint="eastAsia" w:ascii="仿宋_GB2312" w:hAnsi="黑体" w:eastAsia="仿宋_GB2312"/>
                <w:color w:val="000000"/>
                <w:sz w:val="32"/>
                <w:szCs w:val="32"/>
              </w:rPr>
              <w:t>《社区矫正法》宣传</w:t>
            </w:r>
            <w:r>
              <w:rPr>
                <w:rFonts w:hint="eastAsia" w:ascii="仿宋_GB2312" w:eastAsia="仿宋_GB2312"/>
                <w:color w:val="000000"/>
                <w:sz w:val="32"/>
                <w:szCs w:val="32"/>
              </w:rPr>
              <w:t>、社区矫正对象职业技能培训及教育，社区矫正业务培训、先进表彰等约2万元。</w:t>
            </w:r>
            <w:r>
              <w:rPr>
                <w:rFonts w:hint="eastAsia" w:ascii="仿宋_GB2312" w:eastAsia="仿宋_GB2312"/>
                <w:bCs/>
                <w:color w:val="000000"/>
                <w:sz w:val="32"/>
                <w:szCs w:val="32"/>
              </w:rPr>
              <w:t>5.行政复议应诉办案经费支出。包括行政复议应诉办案费、业务培训费、专家论证费、应诉案件律师代理费，共4.5万元。6.行政执法监督支出。主要用于行政执法人员资格认证通用法律知识考试考务支出，共1.5万元。7.立法经费支出。主要用于立法前及立法后评估专家论证、提前介入调研、本地报刊媒体公布征求及发布后报纸刊载等支出约1万元。8.合法性审查经费支出。主要用于支付</w:t>
            </w:r>
            <w:r>
              <w:rPr>
                <w:rFonts w:hint="eastAsia" w:ascii="仿宋" w:hAnsi="仿宋" w:eastAsia="仿宋"/>
                <w:color w:val="000000"/>
                <w:sz w:val="32"/>
                <w:szCs w:val="32"/>
              </w:rPr>
              <w:t>聘用规范性文件、市政府常务会议纪要合法性审查法律顾问费用，共19万元。</w:t>
            </w:r>
            <w:r>
              <w:rPr>
                <w:rFonts w:hint="eastAsia" w:ascii="仿宋_GB2312" w:eastAsia="仿宋_GB2312"/>
                <w:bCs/>
                <w:color w:val="000000"/>
                <w:sz w:val="32"/>
                <w:szCs w:val="32"/>
              </w:rPr>
              <w:t>9.公共法律服务管理、基层法律服务管理、机关党建、律师管理、人事管理等经费由司法局统筹约需经费1.26万元。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（6）年度预算安排为52.97万元。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（7）绩效目标。</w:t>
            </w:r>
          </w:p>
          <w:p>
            <w:pPr>
              <w:ind w:firstLine="2730" w:firstLineChars="850"/>
              <w:rPr>
                <w:b/>
                <w:bCs/>
                <w:sz w:val="32"/>
                <w:szCs w:val="32"/>
              </w:rPr>
            </w:pPr>
          </w:p>
          <w:p>
            <w:pPr>
              <w:ind w:firstLine="2730" w:firstLineChars="850"/>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324" w:type="dxa"/>
            <w:gridSpan w:val="10"/>
            <w:tcBorders>
              <w:top w:val="nil"/>
              <w:left w:val="nil"/>
              <w:bottom w:val="nil"/>
              <w:right w:val="nil"/>
            </w:tcBorders>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项目名称</w:t>
            </w:r>
          </w:p>
        </w:tc>
        <w:tc>
          <w:tcPr>
            <w:tcW w:w="8088" w:type="dxa"/>
            <w:gridSpan w:val="8"/>
            <w:tcBorders>
              <w:top w:val="single" w:color="auto" w:sz="4" w:space="0"/>
              <w:left w:val="nil"/>
              <w:bottom w:val="single" w:color="auto" w:sz="4" w:space="0"/>
              <w:right w:val="single" w:color="000000" w:sz="4" w:space="0"/>
            </w:tcBorders>
            <w:vAlign w:val="center"/>
          </w:tcPr>
          <w:p>
            <w:pPr>
              <w:rPr>
                <w:rFonts w:ascii="宋体" w:hAnsi="宋体" w:cs="宋体"/>
                <w:color w:val="000000"/>
                <w:sz w:val="20"/>
                <w:szCs w:val="20"/>
              </w:rPr>
            </w:pPr>
            <w:r>
              <w:rPr>
                <w:rFonts w:hint="eastAsia" w:ascii="Times New Roman" w:hAnsi="Times New Roman" w:eastAsia="宋体" w:cs="Times New Roman"/>
                <w:color w:val="000000"/>
                <w:sz w:val="20"/>
                <w:szCs w:val="20"/>
              </w:rPr>
              <w:t>司法行政工作经费</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实施单位</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 w:val="20"/>
                <w:szCs w:val="20"/>
              </w:rPr>
            </w:pPr>
            <w:r>
              <w:rPr>
                <w:rFonts w:hint="eastAsia"/>
                <w:color w:val="000000"/>
                <w:sz w:val="20"/>
                <w:szCs w:val="20"/>
              </w:rPr>
              <w:t>淮北市司法局</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项目属性</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eastAsia="宋体"/>
                <w:sz w:val="20"/>
                <w:szCs w:val="20"/>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中期资金总额：</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52.97</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年度资金总额：</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52.97</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52.97</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52.97</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2128"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总</w:t>
            </w:r>
          </w:p>
          <w:p>
            <w:pPr>
              <w:jc w:val="center"/>
              <w:rPr>
                <w:rFonts w:eastAsia="宋体"/>
                <w:sz w:val="20"/>
                <w:szCs w:val="20"/>
              </w:rPr>
            </w:pPr>
            <w:r>
              <w:rPr>
                <w:rFonts w:hint="eastAsia"/>
                <w:sz w:val="20"/>
                <w:szCs w:val="20"/>
              </w:rPr>
              <w:t>体</w:t>
            </w:r>
          </w:p>
          <w:p>
            <w:pPr>
              <w:jc w:val="center"/>
              <w:rPr>
                <w:rFonts w:eastAsia="宋体"/>
                <w:sz w:val="20"/>
                <w:szCs w:val="20"/>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pPr>
              <w:jc w:val="center"/>
              <w:rPr>
                <w:rFonts w:ascii="宋体" w:hAnsi="宋体" w:cs="宋体"/>
                <w:sz w:val="20"/>
                <w:szCs w:val="20"/>
              </w:rPr>
            </w:pPr>
            <w:r>
              <w:rPr>
                <w:rFonts w:hint="eastAsia"/>
                <w:sz w:val="20"/>
                <w:szCs w:val="20"/>
              </w:rPr>
              <w:t>中期目标（2022年—2025年）</w:t>
            </w:r>
          </w:p>
        </w:tc>
        <w:tc>
          <w:tcPr>
            <w:tcW w:w="3497"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tcPr>
          <w:p>
            <w:r>
              <w:rPr>
                <w:rFonts w:hint="eastAsia"/>
                <w:sz w:val="20"/>
                <w:szCs w:val="20"/>
              </w:rPr>
              <w:t xml:space="preserve"> 贯彻执行国家和省关于司法行政工作的方针、政策，组织制定全市司法行政工作的政策和规章制度；开展司法行政工作培训工作，指导、监督全市基层司法所建设、人民调解、社区矫正、基层法律服务和安置帮教工作；管理、指导全是面向社会服务的司法鉴定工作。</w:t>
            </w:r>
          </w:p>
        </w:tc>
        <w:tc>
          <w:tcPr>
            <w:tcW w:w="3497" w:type="dxa"/>
            <w:gridSpan w:val="4"/>
            <w:tcBorders>
              <w:top w:val="single" w:color="auto" w:sz="4" w:space="0"/>
              <w:left w:val="single" w:color="auto" w:sz="4" w:space="0"/>
              <w:bottom w:val="single" w:color="auto" w:sz="4" w:space="0"/>
              <w:right w:val="single" w:color="000000" w:sz="4" w:space="0"/>
            </w:tcBorders>
          </w:tcPr>
          <w:p>
            <w:pPr>
              <w:pStyle w:val="7"/>
              <w:ind w:left="420" w:firstLine="400"/>
            </w:pPr>
            <w:r>
              <w:rPr>
                <w:rFonts w:hint="eastAsia"/>
                <w:sz w:val="20"/>
                <w:szCs w:val="20"/>
              </w:rPr>
              <w:t>贯彻执行国家和省关于司法行政工作的方针、政策，组织制定全市司法行政工作的政策和规章制度；开展司法行政工作培训工作，指导、监督全市基层司法所建设、人民调解、社区矫正、基层法律服务和安置帮教工作；管理、指导全是面向社会服务的司法鉴定工作。</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绩</w:t>
            </w:r>
          </w:p>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vAlign w:val="center"/>
          </w:tcPr>
          <w:p>
            <w:pPr>
              <w:jc w:val="center"/>
              <w:rPr>
                <w:rFonts w:eastAsia="宋体"/>
                <w:sz w:val="20"/>
                <w:szCs w:val="20"/>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三级指标</w:t>
            </w:r>
          </w:p>
        </w:tc>
        <w:tc>
          <w:tcPr>
            <w:tcW w:w="120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928"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c>
          <w:tcPr>
            <w:tcW w:w="677"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40" w:type="dxa"/>
            <w:tcBorders>
              <w:top w:val="nil"/>
              <w:left w:val="nil"/>
              <w:bottom w:val="single" w:color="auto" w:sz="4" w:space="0"/>
              <w:right w:val="nil"/>
            </w:tcBorders>
            <w:vAlign w:val="center"/>
          </w:tcPr>
          <w:p>
            <w:pPr>
              <w:jc w:val="center"/>
              <w:rPr>
                <w:rFonts w:ascii="宋体" w:hAnsi="宋体" w:cs="宋体"/>
                <w:sz w:val="20"/>
                <w:szCs w:val="20"/>
              </w:rPr>
            </w:pPr>
            <w:r>
              <w:rPr>
                <w:rFonts w:hint="eastAsia"/>
                <w:sz w:val="20"/>
                <w:szCs w:val="20"/>
              </w:rPr>
              <w:t>三级指标</w:t>
            </w:r>
          </w:p>
        </w:tc>
        <w:tc>
          <w:tcPr>
            <w:tcW w:w="840" w:type="dxa"/>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84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1347"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产</w:t>
            </w:r>
          </w:p>
          <w:p>
            <w:pPr>
              <w:jc w:val="center"/>
              <w:rPr>
                <w:rFonts w:eastAsia="宋体"/>
                <w:sz w:val="20"/>
                <w:szCs w:val="20"/>
              </w:rPr>
            </w:pPr>
            <w:r>
              <w:rPr>
                <w:rFonts w:hint="eastAsia"/>
                <w:sz w:val="20"/>
                <w:szCs w:val="20"/>
              </w:rPr>
              <w:t>出</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tcPr>
          <w:p>
            <w:pPr>
              <w:rPr>
                <w:rFonts w:ascii="宋体" w:hAnsi="宋体" w:cs="宋体"/>
                <w:sz w:val="20"/>
                <w:szCs w:val="20"/>
              </w:rPr>
            </w:pPr>
            <w:r>
              <w:rPr>
                <w:rFonts w:hint="eastAsia"/>
                <w:sz w:val="20"/>
                <w:szCs w:val="20"/>
              </w:rPr>
              <w:t xml:space="preserve"> 指标1：</w:t>
            </w:r>
            <w:r>
              <w:rPr>
                <w:rFonts w:hint="eastAsia" w:ascii="宋体" w:hAnsi="宋体" w:cs="宋体"/>
                <w:color w:val="000000"/>
                <w:kern w:val="0"/>
                <w:sz w:val="18"/>
                <w:szCs w:val="18"/>
                <w:lang w:bidi="ar"/>
              </w:rPr>
              <w:t>调解成功率</w:t>
            </w:r>
          </w:p>
        </w:tc>
        <w:tc>
          <w:tcPr>
            <w:tcW w:w="12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≥98%</w:t>
            </w:r>
          </w:p>
        </w:tc>
        <w:tc>
          <w:tcPr>
            <w:tcW w:w="9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≥98%</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 xml:space="preserve"> 指标1：</w:t>
            </w:r>
            <w:r>
              <w:rPr>
                <w:rFonts w:hint="eastAsia" w:ascii="宋体" w:hAnsi="宋体" w:cs="宋体"/>
                <w:color w:val="000000"/>
                <w:kern w:val="0"/>
                <w:sz w:val="18"/>
                <w:szCs w:val="18"/>
                <w:lang w:bidi="ar"/>
              </w:rPr>
              <w:t>调解成功率</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≥98%</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≥98%</w:t>
            </w:r>
          </w:p>
        </w:tc>
      </w:tr>
      <w:tr>
        <w:tblPrEx>
          <w:tblCellMar>
            <w:top w:w="0" w:type="dxa"/>
            <w:left w:w="108" w:type="dxa"/>
            <w:bottom w:w="0" w:type="dxa"/>
            <w:right w:w="108" w:type="dxa"/>
          </w:tblCellMar>
        </w:tblPrEx>
        <w:trPr>
          <w:trHeight w:val="124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指标1：</w:t>
            </w:r>
            <w:r>
              <w:rPr>
                <w:rFonts w:hint="eastAsia" w:ascii="宋体" w:hAnsi="宋体" w:cs="宋体"/>
                <w:color w:val="000000"/>
                <w:kern w:val="0"/>
                <w:sz w:val="18"/>
                <w:szCs w:val="18"/>
                <w:lang w:bidi="ar"/>
              </w:rPr>
              <w:t>社区矫正对象帮扶率</w:t>
            </w:r>
          </w:p>
        </w:tc>
        <w:tc>
          <w:tcPr>
            <w:tcW w:w="1200"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w:t>
            </w:r>
          </w:p>
        </w:tc>
        <w:tc>
          <w:tcPr>
            <w:tcW w:w="928"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指标1：</w:t>
            </w:r>
            <w:r>
              <w:rPr>
                <w:rFonts w:hint="eastAsia" w:ascii="宋体" w:hAnsi="宋体" w:cs="宋体"/>
                <w:color w:val="000000"/>
                <w:kern w:val="0"/>
                <w:sz w:val="18"/>
                <w:szCs w:val="18"/>
                <w:lang w:bidi="ar"/>
              </w:rPr>
              <w:t>社区矫正对象帮扶率</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w:t>
            </w:r>
          </w:p>
        </w:tc>
      </w:tr>
      <w:tr>
        <w:tblPrEx>
          <w:tblCellMar>
            <w:top w:w="0" w:type="dxa"/>
            <w:left w:w="108" w:type="dxa"/>
            <w:bottom w:w="0" w:type="dxa"/>
            <w:right w:w="108" w:type="dxa"/>
          </w:tblCellMar>
        </w:tblPrEx>
        <w:trPr>
          <w:trHeight w:val="212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nil"/>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nil"/>
              <w:right w:val="single" w:color="auto" w:sz="4" w:space="0"/>
            </w:tcBorders>
            <w:vAlign w:val="center"/>
          </w:tcPr>
          <w:p>
            <w:pPr>
              <w:rPr>
                <w:rFonts w:ascii="宋体" w:hAnsi="宋体" w:cs="宋体"/>
                <w:sz w:val="20"/>
                <w:szCs w:val="20"/>
              </w:rPr>
            </w:pPr>
            <w:r>
              <w:rPr>
                <w:rFonts w:hint="eastAsia"/>
                <w:sz w:val="20"/>
                <w:szCs w:val="20"/>
              </w:rPr>
              <w:t>指标1：是否资金及时到位</w:t>
            </w:r>
          </w:p>
        </w:tc>
        <w:tc>
          <w:tcPr>
            <w:tcW w:w="1200"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按照年度预算安排，资金拨付到位</w:t>
            </w:r>
          </w:p>
        </w:tc>
        <w:tc>
          <w:tcPr>
            <w:tcW w:w="928"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按照年度预算安排，资金拨付到位</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指标1：是否资金及时到位</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按照年度预算安排，资金拨付到位</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按照年度预算安排，资金拨付到位</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指标1：是否在预定成本控制范围</w:t>
            </w:r>
          </w:p>
        </w:tc>
        <w:tc>
          <w:tcPr>
            <w:tcW w:w="120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928"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677"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指标1：是否在预定成本控制范围</w:t>
            </w:r>
          </w:p>
        </w:tc>
        <w:tc>
          <w:tcPr>
            <w:tcW w:w="8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8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r>
      <w:tr>
        <w:tblPrEx>
          <w:tblCellMar>
            <w:top w:w="0" w:type="dxa"/>
            <w:left w:w="108" w:type="dxa"/>
            <w:bottom w:w="0" w:type="dxa"/>
            <w:right w:w="108" w:type="dxa"/>
          </w:tblCellMar>
        </w:tblPrEx>
        <w:trPr>
          <w:trHeight w:val="2181" w:hRule="atLeast"/>
        </w:trPr>
        <w:tc>
          <w:tcPr>
            <w:tcW w:w="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益</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经济效益指标</w:t>
            </w:r>
          </w:p>
        </w:tc>
        <w:tc>
          <w:tcPr>
            <w:tcW w:w="1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120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928"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社会效益指标</w:t>
            </w:r>
          </w:p>
        </w:tc>
        <w:tc>
          <w:tcPr>
            <w:tcW w:w="1523" w:type="dxa"/>
            <w:vMerge w:val="restart"/>
            <w:tcBorders>
              <w:top w:val="single" w:color="auto" w:sz="4" w:space="0"/>
              <w:left w:val="single" w:color="auto" w:sz="4" w:space="0"/>
              <w:right w:val="single" w:color="auto" w:sz="4" w:space="0"/>
            </w:tcBorders>
            <w:vAlign w:val="center"/>
          </w:tcPr>
          <w:p>
            <w:pPr>
              <w:rPr>
                <w:sz w:val="20"/>
                <w:szCs w:val="20"/>
              </w:rPr>
            </w:pPr>
            <w:r>
              <w:rPr>
                <w:rFonts w:hint="eastAsia"/>
                <w:sz w:val="20"/>
                <w:szCs w:val="20"/>
              </w:rPr>
              <w:t xml:space="preserve"> 指标1：纠纷调解服务覆盖率</w:t>
            </w:r>
          </w:p>
          <w:p>
            <w:pPr>
              <w:rPr>
                <w:rFonts w:ascii="宋体" w:hAnsi="宋体" w:cs="宋体"/>
                <w:sz w:val="20"/>
                <w:szCs w:val="20"/>
              </w:rPr>
            </w:pPr>
          </w:p>
        </w:tc>
        <w:tc>
          <w:tcPr>
            <w:tcW w:w="120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100%</w:t>
            </w:r>
            <w:r>
              <w:rPr>
                <w:rFonts w:hint="eastAsia"/>
                <w:sz w:val="20"/>
                <w:szCs w:val="20"/>
              </w:rPr>
              <w:t>　</w:t>
            </w:r>
          </w:p>
        </w:tc>
        <w:tc>
          <w:tcPr>
            <w:tcW w:w="928"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100%</w:t>
            </w:r>
            <w:r>
              <w:rPr>
                <w:rFonts w:hint="eastAsia"/>
                <w:sz w:val="20"/>
                <w:szCs w:val="20"/>
              </w:rPr>
              <w:t>　</w:t>
            </w:r>
          </w:p>
          <w:p>
            <w:pPr>
              <w:rPr>
                <w:rFonts w:ascii="宋体" w:hAnsi="宋体" w:cs="宋体"/>
                <w:sz w:val="20"/>
                <w:szCs w:val="20"/>
              </w:rPr>
            </w:pPr>
          </w:p>
        </w:tc>
        <w:tc>
          <w:tcPr>
            <w:tcW w:w="677" w:type="dxa"/>
            <w:vMerge w:val="restart"/>
            <w:tcBorders>
              <w:top w:val="single" w:color="auto" w:sz="4" w:space="0"/>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1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 xml:space="preserve"> 指标1：纠纷调解服务覆盖率</w:t>
            </w:r>
          </w:p>
          <w:p>
            <w:pPr>
              <w:rPr>
                <w:rFonts w:ascii="宋体" w:hAnsi="宋体" w:cs="宋体"/>
                <w:sz w:val="20"/>
                <w:szCs w:val="20"/>
              </w:rPr>
            </w:pP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100%</w:t>
            </w:r>
            <w:r>
              <w:rPr>
                <w:rFonts w:hint="eastAsia"/>
                <w:sz w:val="20"/>
                <w:szCs w:val="20"/>
              </w:rPr>
              <w:t>　</w:t>
            </w:r>
          </w:p>
          <w:p>
            <w:pPr>
              <w:rPr>
                <w:rFonts w:ascii="宋体" w:hAnsi="宋体" w:cs="宋体"/>
                <w:sz w:val="20"/>
                <w:szCs w:val="20"/>
              </w:rPr>
            </w:pPr>
          </w:p>
        </w:tc>
        <w:tc>
          <w:tcPr>
            <w:tcW w:w="840" w:type="dxa"/>
            <w:tcBorders>
              <w:top w:val="single" w:color="auto" w:sz="4" w:space="0"/>
              <w:left w:val="single" w:color="auto" w:sz="4" w:space="0"/>
              <w:bottom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100%</w:t>
            </w:r>
            <w:r>
              <w:rPr>
                <w:rFonts w:hint="eastAsia"/>
                <w:sz w:val="20"/>
                <w:szCs w:val="20"/>
              </w:rPr>
              <w:t>　</w:t>
            </w:r>
          </w:p>
          <w:p>
            <w:pPr>
              <w:rPr>
                <w:rFonts w:ascii="宋体" w:hAnsi="宋体" w:cs="宋体"/>
                <w:sz w:val="20"/>
                <w:szCs w:val="20"/>
              </w:rPr>
            </w:pPr>
          </w:p>
        </w:tc>
      </w:tr>
      <w:tr>
        <w:tblPrEx>
          <w:tblCellMar>
            <w:top w:w="0" w:type="dxa"/>
            <w:left w:w="108" w:type="dxa"/>
            <w:bottom w:w="0" w:type="dxa"/>
            <w:right w:w="108" w:type="dxa"/>
          </w:tblCellMar>
        </w:tblPrEx>
        <w:trPr>
          <w:trHeight w:val="9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single" w:color="auto" w:sz="4" w:space="0"/>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523" w:type="dxa"/>
            <w:vMerge w:val="restart"/>
            <w:tcBorders>
              <w:top w:val="nil"/>
              <w:left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120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tc>
        <w:tc>
          <w:tcPr>
            <w:tcW w:w="928"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140" w:type="dxa"/>
            <w:tcBorders>
              <w:top w:val="single" w:color="auto" w:sz="4" w:space="0"/>
              <w:left w:val="single" w:color="auto" w:sz="4" w:space="0"/>
              <w:bottom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84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指标1：提升区域法治影响力</w:t>
            </w:r>
          </w:p>
        </w:tc>
        <w:tc>
          <w:tcPr>
            <w:tcW w:w="120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推动社会治理水平，促进社会和谐稳定</w:t>
            </w:r>
          </w:p>
        </w:tc>
        <w:tc>
          <w:tcPr>
            <w:tcW w:w="92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推动社会治理水平，促进社会和谐稳定</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指标1：提升区域法治影响力</w:t>
            </w:r>
          </w:p>
        </w:tc>
        <w:tc>
          <w:tcPr>
            <w:tcW w:w="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推动社会治理水平，促进社会和谐稳定</w:t>
            </w:r>
          </w:p>
        </w:tc>
        <w:tc>
          <w:tcPr>
            <w:tcW w:w="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推动社会治理水平，促进社会和谐稳定</w:t>
            </w:r>
          </w:p>
        </w:tc>
      </w:tr>
      <w:tr>
        <w:tblPrEx>
          <w:tblCellMar>
            <w:top w:w="0" w:type="dxa"/>
            <w:left w:w="108" w:type="dxa"/>
            <w:bottom w:w="0" w:type="dxa"/>
            <w:right w:w="108" w:type="dxa"/>
          </w:tblCellMar>
        </w:tblPrEx>
        <w:trPr>
          <w:trHeight w:val="2059"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服务对象满意度指标</w:t>
            </w:r>
          </w:p>
          <w:p>
            <w:pPr>
              <w:jc w:val="center"/>
              <w:rPr>
                <w:rFonts w:ascii="宋体" w:hAnsi="宋体" w:cs="宋体"/>
                <w:sz w:val="20"/>
                <w:szCs w:val="20"/>
              </w:rPr>
            </w:pPr>
          </w:p>
        </w:tc>
        <w:tc>
          <w:tcPr>
            <w:tcW w:w="1523"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sz w:val="20"/>
                <w:szCs w:val="20"/>
              </w:rPr>
            </w:pPr>
            <w:r>
              <w:rPr>
                <w:rFonts w:hint="eastAsia"/>
                <w:sz w:val="20"/>
                <w:szCs w:val="20"/>
              </w:rPr>
              <w:t>度指标</w:t>
            </w:r>
          </w:p>
          <w:p>
            <w:pPr>
              <w:jc w:val="center"/>
              <w:rPr>
                <w:rFonts w:ascii="宋体" w:hAnsi="宋体" w:cs="宋体"/>
                <w:sz w:val="20"/>
                <w:szCs w:val="20"/>
              </w:rPr>
            </w:pPr>
          </w:p>
        </w:tc>
        <w:tc>
          <w:tcPr>
            <w:tcW w:w="11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r>
      <w:tr>
        <w:tblPrEx>
          <w:tblCellMar>
            <w:top w:w="0" w:type="dxa"/>
            <w:left w:w="108" w:type="dxa"/>
            <w:bottom w:w="0" w:type="dxa"/>
            <w:right w:w="108" w:type="dxa"/>
          </w:tblCellMar>
        </w:tblPrEx>
        <w:trPr>
          <w:trHeight w:val="360" w:hRule="atLeast"/>
        </w:trPr>
        <w:tc>
          <w:tcPr>
            <w:tcW w:w="9324" w:type="dxa"/>
            <w:gridSpan w:val="10"/>
            <w:tcBorders>
              <w:top w:val="nil"/>
              <w:left w:val="nil"/>
              <w:bottom w:val="nil"/>
              <w:right w:val="nil"/>
            </w:tcBorders>
            <w:vAlign w:val="center"/>
          </w:tcPr>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5.“</w:t>
            </w:r>
            <w:r>
              <w:rPr>
                <w:rFonts w:hint="eastAsia" w:ascii="仿宋" w:hAnsi="仿宋" w:eastAsia="仿宋"/>
                <w:b/>
                <w:color w:val="000000"/>
                <w:sz w:val="32"/>
                <w:szCs w:val="32"/>
              </w:rPr>
              <w:t>依法治市经费</w:t>
            </w:r>
            <w:r>
              <w:rPr>
                <w:rFonts w:hint="eastAsia" w:ascii="仿宋_GB2312" w:hAnsi="楷体" w:eastAsia="仿宋_GB2312"/>
                <w:b/>
                <w:sz w:val="32"/>
                <w:szCs w:val="32"/>
              </w:rPr>
              <w:t>”项目。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（1）项目概述。</w:t>
            </w:r>
            <w:r>
              <w:rPr>
                <w:rFonts w:hint="eastAsia" w:ascii="仿宋" w:hAnsi="仿宋" w:eastAsia="仿宋" w:cs="Times New Roman"/>
                <w:color w:val="000000"/>
                <w:sz w:val="32"/>
                <w:szCs w:val="32"/>
              </w:rPr>
              <w:t>为进一步推进我市法治建设、法治政府建设，按工作要求需常态化开展省、市法治督察，组织习近平法治思想专题宣讲，开展法治建设业务能力培训班等。同时，为更好争先进位，需组织开展调研学习等工作，共需费用2.57万元，需将经费列入2024年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（2）立项依据。</w:t>
            </w:r>
            <w:r>
              <w:rPr>
                <w:rFonts w:hint="eastAsia" w:ascii="仿宋" w:hAnsi="仿宋" w:eastAsia="仿宋"/>
                <w:color w:val="000000"/>
                <w:sz w:val="32"/>
                <w:szCs w:val="32"/>
              </w:rPr>
              <w:t>中共淮北市委全面依法治委员会办公室及淮北市依法行政工作领导小组办公室设在市司法局，由法治调研和督察科（市委依法治市办秘书科）承担具体任务，承担着开展全面依法治市理论与实践调查研究工作，提出政策建议；承办全面依法治市工作规划建议的协调工作；组织起草全面依法治市有关重要文件；负责拟定全面依法治市工作部署的年度督察计划，开展重大专项督察，提出督察意见、问责建议；负责本系统发展规划、重大政策。研究提出建设法治政府、推进依法行政的意见和措施。接受各地各部门法治工作重要决定和方案的备案；负责推进全市司法行政改革工作；承担市委依法治市办日常工作等职能。中共安徽省委全面依法治省委员会办公室《省委依法治省办关于建立健全全面依法治省工作制度的通知》；中共淮北市委全面依法治市委员会办公室《市委依法治市办关于建立健全全面依法治市工作制度的通知》；中共安徽省委全面依法治省委员会办公室关于印发《中共安徽省委全面依法治省委员会办公室督察工作办法》的通知，中共安徽省委全面依法治省委员会办公室《省委依法治省办关于建立健全全面依法治省工作制度的通知》及中共淮北市委全面依法治市委员会办公室《市委依法治市办关于建立健全全面依法治市工作制度的通知》中明确提出“完善法治调研课题制度、调研成果评比奖励制度和调研成果转化应用机制，给予一定的经费补助或奖励”；中共安徽省委全面依法治省委员会办公室关于印发《中共安徽省委全面依法治省委员会办公室督察工作办法》的通知中明确提出“督察开展所需经费，由同级财政予以保障”，需将依法治市、依法行政、法治调研、法治督察、法治建设骨干培训班专项经费列入2024年预算。</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（3）实施主体：淮北市司法局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（4）起止时间。2024年1月-2024年12月</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（5）项目内容。</w:t>
            </w:r>
            <w:r>
              <w:rPr>
                <w:rFonts w:hint="eastAsia" w:ascii="仿宋" w:hAnsi="仿宋" w:eastAsia="仿宋" w:cs="Times New Roman"/>
                <w:color w:val="000000"/>
                <w:sz w:val="32"/>
                <w:szCs w:val="32"/>
              </w:rPr>
              <w:t>为进一步推进我市法治建设、法治政府建设，按工作要求需常态化开展省、市法治督察，组织习近平法治思想专题宣讲，开展法治建设业务能力培训班等。同时，为更好争先进位，需组织开展调研学习等工作，共需费用2.57万元，需将经费列入2023年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（6）年度预算安排为2.57万元。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（7）绩效目标。</w:t>
            </w:r>
          </w:p>
          <w:p>
            <w:pPr>
              <w:ind w:firstLine="2730" w:firstLineChars="850"/>
              <w:rPr>
                <w:b/>
                <w:bCs/>
                <w:sz w:val="32"/>
                <w:szCs w:val="32"/>
              </w:rPr>
            </w:pPr>
          </w:p>
          <w:p>
            <w:pPr>
              <w:ind w:firstLine="2730" w:firstLineChars="850"/>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324" w:type="dxa"/>
            <w:gridSpan w:val="10"/>
            <w:tcBorders>
              <w:top w:val="nil"/>
              <w:left w:val="nil"/>
              <w:bottom w:val="nil"/>
              <w:right w:val="nil"/>
            </w:tcBorders>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项目名称</w:t>
            </w:r>
          </w:p>
        </w:tc>
        <w:tc>
          <w:tcPr>
            <w:tcW w:w="8088" w:type="dxa"/>
            <w:gridSpan w:val="8"/>
            <w:tcBorders>
              <w:top w:val="single" w:color="auto" w:sz="4" w:space="0"/>
              <w:left w:val="nil"/>
              <w:bottom w:val="single" w:color="auto" w:sz="4" w:space="0"/>
              <w:right w:val="single" w:color="000000" w:sz="4" w:space="0"/>
            </w:tcBorders>
            <w:vAlign w:val="center"/>
          </w:tcPr>
          <w:p>
            <w:pPr>
              <w:rPr>
                <w:rFonts w:ascii="宋体" w:hAnsi="宋体" w:cs="宋体"/>
                <w:color w:val="000000"/>
                <w:sz w:val="20"/>
                <w:szCs w:val="20"/>
              </w:rPr>
            </w:pPr>
            <w:r>
              <w:rPr>
                <w:rFonts w:hint="eastAsia" w:ascii="Times New Roman" w:hAnsi="Times New Roman" w:eastAsia="宋体" w:cs="Times New Roman"/>
                <w:color w:val="000000"/>
                <w:sz w:val="20"/>
                <w:szCs w:val="20"/>
              </w:rPr>
              <w:t>依法治市经费</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实施单位</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 w:val="20"/>
                <w:szCs w:val="20"/>
              </w:rPr>
            </w:pPr>
            <w:r>
              <w:rPr>
                <w:rFonts w:hint="eastAsia"/>
                <w:color w:val="000000"/>
                <w:sz w:val="20"/>
                <w:szCs w:val="20"/>
              </w:rPr>
              <w:t>淮北市司法局</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项目属性</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eastAsia="宋体"/>
                <w:sz w:val="20"/>
                <w:szCs w:val="20"/>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中期资金总额：</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2.57</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年度资金总额：</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2.57</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2.57</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2.57</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2128"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总</w:t>
            </w:r>
          </w:p>
          <w:p>
            <w:pPr>
              <w:jc w:val="center"/>
              <w:rPr>
                <w:rFonts w:eastAsia="宋体"/>
                <w:sz w:val="20"/>
                <w:szCs w:val="20"/>
              </w:rPr>
            </w:pPr>
            <w:r>
              <w:rPr>
                <w:rFonts w:hint="eastAsia"/>
                <w:sz w:val="20"/>
                <w:szCs w:val="20"/>
              </w:rPr>
              <w:t>体</w:t>
            </w:r>
          </w:p>
          <w:p>
            <w:pPr>
              <w:jc w:val="center"/>
              <w:rPr>
                <w:rFonts w:eastAsia="宋体"/>
                <w:sz w:val="20"/>
                <w:szCs w:val="20"/>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pPr>
              <w:jc w:val="center"/>
              <w:rPr>
                <w:rFonts w:ascii="宋体" w:hAnsi="宋体" w:cs="宋体"/>
                <w:sz w:val="20"/>
                <w:szCs w:val="20"/>
              </w:rPr>
            </w:pPr>
            <w:r>
              <w:rPr>
                <w:rFonts w:hint="eastAsia"/>
                <w:sz w:val="20"/>
                <w:szCs w:val="20"/>
              </w:rPr>
              <w:t>中期目标（2022年—2025年）</w:t>
            </w:r>
          </w:p>
        </w:tc>
        <w:tc>
          <w:tcPr>
            <w:tcW w:w="3497"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tcPr>
          <w:p>
            <w:r>
              <w:rPr>
                <w:rFonts w:hint="eastAsia"/>
                <w:sz w:val="20"/>
                <w:szCs w:val="20"/>
              </w:rPr>
              <w:t xml:space="preserve"> 中共淮北市委全面依法治委员会办公室及淮北市依法行政工作领导小组办公室设在市司法局，由法治调研和督察科（市委依法治市办秘书科）承担具体任务，承担着开展全面依法治市理论与实践调查研究工作，提出政策建议；承办全面依法治市工作规划建议的协调工作；组织起草全面依法治市有关重要文件；负责拟定全面依法治市工作部署的年度督察计划，开展重大专项督察，提出督察意见、问责建议；负责本系统发展规划、重大政策。研究提出建设法治政府、推进依法行政的意见和措施。接受各地各部门法治工作重要决定和方案的备案；负责推进全市司法行政改革工作；承担市委依法治市办日常工作等职能。 </w:t>
            </w:r>
          </w:p>
        </w:tc>
        <w:tc>
          <w:tcPr>
            <w:tcW w:w="3497" w:type="dxa"/>
            <w:gridSpan w:val="4"/>
            <w:tcBorders>
              <w:top w:val="single" w:color="auto" w:sz="4" w:space="0"/>
              <w:left w:val="single" w:color="auto" w:sz="4" w:space="0"/>
              <w:bottom w:val="single" w:color="auto" w:sz="4" w:space="0"/>
              <w:right w:val="single" w:color="000000" w:sz="4" w:space="0"/>
            </w:tcBorders>
          </w:tcPr>
          <w:p>
            <w:pPr>
              <w:pStyle w:val="7"/>
              <w:ind w:left="420" w:firstLine="400"/>
            </w:pPr>
            <w:r>
              <w:rPr>
                <w:rFonts w:hint="eastAsia"/>
                <w:sz w:val="20"/>
                <w:szCs w:val="20"/>
              </w:rPr>
              <w:t xml:space="preserve">中共淮北市委全面依法治委员会办公室及淮北市依法行政工作领导小组办公室设在市司法局，由法治调研和督察科（市委依法治市办秘书科）承担具体任务，承担着开展全面依法治市理论与实践调查研究工作，提出政策建议；承办全面依法治市工作规划建议的协调工作；组织起草全面依法治市有关重要文件；负责拟定全面依法治市工作部署的年度督察计划，开展重大专项督察，提出督察意见、问责建议；负责本系统发展规划、重大政策。研究提出建设法治政府、推进依法行政的意见和措施。接受各地各部门法治工作重要决定和方案的备案；负责推进全市司法行政改革工作；承担市委依法治市办日常工作等职能。 </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绩</w:t>
            </w:r>
          </w:p>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vAlign w:val="center"/>
          </w:tcPr>
          <w:p>
            <w:pPr>
              <w:jc w:val="center"/>
              <w:rPr>
                <w:rFonts w:eastAsia="宋体"/>
                <w:sz w:val="20"/>
                <w:szCs w:val="20"/>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三级指标</w:t>
            </w:r>
          </w:p>
        </w:tc>
        <w:tc>
          <w:tcPr>
            <w:tcW w:w="120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928"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c>
          <w:tcPr>
            <w:tcW w:w="677"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40" w:type="dxa"/>
            <w:tcBorders>
              <w:top w:val="nil"/>
              <w:left w:val="nil"/>
              <w:bottom w:val="single" w:color="auto" w:sz="4" w:space="0"/>
              <w:right w:val="nil"/>
            </w:tcBorders>
            <w:vAlign w:val="center"/>
          </w:tcPr>
          <w:p>
            <w:pPr>
              <w:jc w:val="center"/>
              <w:rPr>
                <w:rFonts w:ascii="宋体" w:hAnsi="宋体" w:cs="宋体"/>
                <w:sz w:val="20"/>
                <w:szCs w:val="20"/>
              </w:rPr>
            </w:pPr>
            <w:r>
              <w:rPr>
                <w:rFonts w:hint="eastAsia"/>
                <w:sz w:val="20"/>
                <w:szCs w:val="20"/>
              </w:rPr>
              <w:t>三级指标</w:t>
            </w:r>
          </w:p>
        </w:tc>
        <w:tc>
          <w:tcPr>
            <w:tcW w:w="840" w:type="dxa"/>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84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1347"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产</w:t>
            </w:r>
          </w:p>
          <w:p>
            <w:pPr>
              <w:jc w:val="center"/>
              <w:rPr>
                <w:rFonts w:eastAsia="宋体"/>
                <w:sz w:val="20"/>
                <w:szCs w:val="20"/>
              </w:rPr>
            </w:pPr>
            <w:r>
              <w:rPr>
                <w:rFonts w:hint="eastAsia"/>
                <w:sz w:val="20"/>
                <w:szCs w:val="20"/>
              </w:rPr>
              <w:t>出</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年底依法治市相关工作完成100%</w:t>
            </w:r>
          </w:p>
        </w:tc>
        <w:tc>
          <w:tcPr>
            <w:tcW w:w="12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9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年底依法治市相关工作完成100%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r>
      <w:tr>
        <w:tblPrEx>
          <w:tblCellMar>
            <w:top w:w="0" w:type="dxa"/>
            <w:left w:w="108" w:type="dxa"/>
            <w:bottom w:w="0" w:type="dxa"/>
            <w:right w:w="108" w:type="dxa"/>
          </w:tblCellMar>
        </w:tblPrEx>
        <w:trPr>
          <w:trHeight w:val="124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高质量完成全市依法治市培训工作的培训覆盖率</w:t>
            </w:r>
          </w:p>
        </w:tc>
        <w:tc>
          <w:tcPr>
            <w:tcW w:w="1200"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＞95%</w:t>
            </w:r>
          </w:p>
        </w:tc>
        <w:tc>
          <w:tcPr>
            <w:tcW w:w="928"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＞95%</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高质量完成全市依法治市培训工作的培训覆盖率</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＞95%</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＞95%</w:t>
            </w:r>
          </w:p>
        </w:tc>
      </w:tr>
      <w:tr>
        <w:tblPrEx>
          <w:tblCellMar>
            <w:top w:w="0" w:type="dxa"/>
            <w:left w:w="108" w:type="dxa"/>
            <w:bottom w:w="0" w:type="dxa"/>
            <w:right w:w="108" w:type="dxa"/>
          </w:tblCellMar>
        </w:tblPrEx>
        <w:trPr>
          <w:trHeight w:val="212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nil"/>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经费支出时效性</w:t>
            </w:r>
          </w:p>
        </w:tc>
        <w:tc>
          <w:tcPr>
            <w:tcW w:w="1200"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928"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经费支出时效性</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经费使用合格率</w:t>
            </w:r>
          </w:p>
        </w:tc>
        <w:tc>
          <w:tcPr>
            <w:tcW w:w="12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9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677"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经费使用合格率</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r>
      <w:tr>
        <w:tblPrEx>
          <w:tblCellMar>
            <w:top w:w="0" w:type="dxa"/>
            <w:left w:w="108" w:type="dxa"/>
            <w:bottom w:w="0" w:type="dxa"/>
            <w:right w:w="108" w:type="dxa"/>
          </w:tblCellMar>
        </w:tblPrEx>
        <w:trPr>
          <w:trHeight w:val="2181" w:hRule="atLeast"/>
        </w:trPr>
        <w:tc>
          <w:tcPr>
            <w:tcW w:w="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益</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经济效益指标</w:t>
            </w:r>
          </w:p>
        </w:tc>
        <w:tc>
          <w:tcPr>
            <w:tcW w:w="1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120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928"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社会效益指标</w:t>
            </w:r>
          </w:p>
        </w:tc>
        <w:tc>
          <w:tcPr>
            <w:tcW w:w="1523" w:type="dxa"/>
            <w:vMerge w:val="restart"/>
            <w:tcBorders>
              <w:top w:val="single" w:color="auto" w:sz="4" w:space="0"/>
              <w:left w:val="single" w:color="auto" w:sz="4" w:space="0"/>
              <w:right w:val="single" w:color="auto" w:sz="4" w:space="0"/>
            </w:tcBorders>
            <w:vAlign w:val="center"/>
          </w:tcPr>
          <w:p>
            <w:pPr>
              <w:rPr>
                <w:sz w:val="20"/>
                <w:szCs w:val="20"/>
              </w:rPr>
            </w:pPr>
            <w:r>
              <w:rPr>
                <w:rFonts w:hint="eastAsia"/>
                <w:sz w:val="20"/>
                <w:szCs w:val="20"/>
              </w:rPr>
              <w:t xml:space="preserve"> 指标1：提升全市法治影响力</w:t>
            </w:r>
          </w:p>
          <w:p>
            <w:pPr>
              <w:rPr>
                <w:rFonts w:ascii="宋体" w:hAnsi="宋体" w:cs="宋体"/>
                <w:sz w:val="20"/>
                <w:szCs w:val="20"/>
              </w:rPr>
            </w:pPr>
          </w:p>
        </w:tc>
        <w:tc>
          <w:tcPr>
            <w:tcW w:w="120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较高</w:t>
            </w:r>
            <w:r>
              <w:rPr>
                <w:rFonts w:hint="eastAsia"/>
                <w:sz w:val="20"/>
                <w:szCs w:val="20"/>
              </w:rPr>
              <w:t>　</w:t>
            </w:r>
          </w:p>
        </w:tc>
        <w:tc>
          <w:tcPr>
            <w:tcW w:w="928"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较高</w:t>
            </w:r>
            <w:r>
              <w:rPr>
                <w:rFonts w:hint="eastAsia"/>
                <w:sz w:val="20"/>
                <w:szCs w:val="20"/>
              </w:rPr>
              <w:t>　</w:t>
            </w:r>
          </w:p>
          <w:p>
            <w:pPr>
              <w:rPr>
                <w:rFonts w:ascii="宋体" w:hAnsi="宋体" w:cs="宋体"/>
                <w:sz w:val="20"/>
                <w:szCs w:val="20"/>
              </w:rPr>
            </w:pPr>
          </w:p>
        </w:tc>
        <w:tc>
          <w:tcPr>
            <w:tcW w:w="677" w:type="dxa"/>
            <w:vMerge w:val="restart"/>
            <w:tcBorders>
              <w:top w:val="single" w:color="auto" w:sz="4" w:space="0"/>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1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 xml:space="preserve"> 指标1：提升全市法治影响力</w:t>
            </w:r>
          </w:p>
          <w:p>
            <w:pPr>
              <w:rPr>
                <w:rFonts w:ascii="宋体" w:hAnsi="宋体" w:cs="宋体"/>
                <w:sz w:val="20"/>
                <w:szCs w:val="20"/>
              </w:rPr>
            </w:pP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较高</w:t>
            </w:r>
            <w:r>
              <w:rPr>
                <w:rFonts w:hint="eastAsia"/>
                <w:sz w:val="20"/>
                <w:szCs w:val="20"/>
              </w:rPr>
              <w:t>　</w:t>
            </w:r>
          </w:p>
          <w:p>
            <w:pPr>
              <w:rPr>
                <w:rFonts w:ascii="宋体" w:hAnsi="宋体" w:cs="宋体"/>
                <w:sz w:val="20"/>
                <w:szCs w:val="20"/>
              </w:rPr>
            </w:pPr>
          </w:p>
        </w:tc>
        <w:tc>
          <w:tcPr>
            <w:tcW w:w="840" w:type="dxa"/>
            <w:tcBorders>
              <w:top w:val="single" w:color="auto" w:sz="4" w:space="0"/>
              <w:left w:val="single" w:color="auto" w:sz="4" w:space="0"/>
              <w:bottom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较高</w:t>
            </w:r>
            <w:r>
              <w:rPr>
                <w:rFonts w:hint="eastAsia"/>
                <w:sz w:val="20"/>
                <w:szCs w:val="20"/>
              </w:rPr>
              <w:t>　</w:t>
            </w:r>
          </w:p>
          <w:p>
            <w:pPr>
              <w:rPr>
                <w:rFonts w:ascii="宋体" w:hAnsi="宋体" w:cs="宋体"/>
                <w:sz w:val="20"/>
                <w:szCs w:val="20"/>
              </w:rPr>
            </w:pPr>
          </w:p>
        </w:tc>
      </w:tr>
      <w:tr>
        <w:tblPrEx>
          <w:tblCellMar>
            <w:top w:w="0" w:type="dxa"/>
            <w:left w:w="108" w:type="dxa"/>
            <w:bottom w:w="0" w:type="dxa"/>
            <w:right w:w="108" w:type="dxa"/>
          </w:tblCellMar>
        </w:tblPrEx>
        <w:trPr>
          <w:trHeight w:val="9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single" w:color="auto" w:sz="4" w:space="0"/>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523" w:type="dxa"/>
            <w:vMerge w:val="restart"/>
            <w:tcBorders>
              <w:top w:val="nil"/>
              <w:left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120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tc>
        <w:tc>
          <w:tcPr>
            <w:tcW w:w="928"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140" w:type="dxa"/>
            <w:tcBorders>
              <w:top w:val="single" w:color="auto" w:sz="4" w:space="0"/>
              <w:left w:val="single" w:color="auto" w:sz="4" w:space="0"/>
              <w:bottom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84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指标1：提升区域法治影响力</w:t>
            </w:r>
          </w:p>
        </w:tc>
        <w:tc>
          <w:tcPr>
            <w:tcW w:w="120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推动社会治理水平，促进社会和谐稳定</w:t>
            </w:r>
          </w:p>
        </w:tc>
        <w:tc>
          <w:tcPr>
            <w:tcW w:w="92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推动社会治理水平，促进社会和谐稳定</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指标1：提升区域法治影响力</w:t>
            </w:r>
          </w:p>
        </w:tc>
        <w:tc>
          <w:tcPr>
            <w:tcW w:w="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推动社会治理水平，促进社会和谐稳定</w:t>
            </w:r>
          </w:p>
        </w:tc>
        <w:tc>
          <w:tcPr>
            <w:tcW w:w="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推动社会治理水平，促进社会和谐稳定</w:t>
            </w:r>
          </w:p>
        </w:tc>
      </w:tr>
      <w:tr>
        <w:tblPrEx>
          <w:tblCellMar>
            <w:top w:w="0" w:type="dxa"/>
            <w:left w:w="108" w:type="dxa"/>
            <w:bottom w:w="0" w:type="dxa"/>
            <w:right w:w="108" w:type="dxa"/>
          </w:tblCellMar>
        </w:tblPrEx>
        <w:trPr>
          <w:trHeight w:val="2059"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服务对象满意度指标</w:t>
            </w:r>
          </w:p>
          <w:p>
            <w:pPr>
              <w:jc w:val="center"/>
              <w:rPr>
                <w:rFonts w:ascii="宋体" w:hAnsi="宋体" w:cs="宋体"/>
                <w:sz w:val="20"/>
                <w:szCs w:val="20"/>
              </w:rPr>
            </w:pPr>
          </w:p>
        </w:tc>
        <w:tc>
          <w:tcPr>
            <w:tcW w:w="1523"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sz w:val="20"/>
                <w:szCs w:val="20"/>
              </w:rPr>
            </w:pPr>
            <w:r>
              <w:rPr>
                <w:rFonts w:hint="eastAsia"/>
                <w:sz w:val="20"/>
                <w:szCs w:val="20"/>
              </w:rPr>
              <w:t>度指标</w:t>
            </w:r>
          </w:p>
          <w:p>
            <w:pPr>
              <w:jc w:val="center"/>
              <w:rPr>
                <w:rFonts w:ascii="宋体" w:hAnsi="宋体" w:cs="宋体"/>
                <w:sz w:val="20"/>
                <w:szCs w:val="20"/>
              </w:rPr>
            </w:pPr>
          </w:p>
        </w:tc>
        <w:tc>
          <w:tcPr>
            <w:tcW w:w="11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r>
    </w:tbl>
    <w:p>
      <w:pPr>
        <w:outlineLvl w:val="2"/>
        <w:rPr>
          <w:rFonts w:ascii="仿宋" w:hAnsi="仿宋" w:eastAsia="仿宋"/>
          <w:b/>
          <w:color w:val="000000"/>
          <w:sz w:val="32"/>
          <w:szCs w:val="32"/>
        </w:rPr>
      </w:pPr>
    </w:p>
    <w:tbl>
      <w:tblPr>
        <w:tblStyle w:val="8"/>
        <w:tblW w:w="9324" w:type="dxa"/>
        <w:tblInd w:w="93" w:type="dxa"/>
        <w:tblLayout w:type="fixed"/>
        <w:tblCellMar>
          <w:top w:w="0" w:type="dxa"/>
          <w:left w:w="108" w:type="dxa"/>
          <w:bottom w:w="0" w:type="dxa"/>
          <w:right w:w="108" w:type="dxa"/>
        </w:tblCellMar>
      </w:tblPr>
      <w:tblGrid>
        <w:gridCol w:w="416"/>
        <w:gridCol w:w="820"/>
        <w:gridCol w:w="940"/>
        <w:gridCol w:w="1523"/>
        <w:gridCol w:w="1200"/>
        <w:gridCol w:w="928"/>
        <w:gridCol w:w="677"/>
        <w:gridCol w:w="1140"/>
        <w:gridCol w:w="840"/>
        <w:gridCol w:w="840"/>
      </w:tblGrid>
      <w:tr>
        <w:tblPrEx>
          <w:tblCellMar>
            <w:top w:w="0" w:type="dxa"/>
            <w:left w:w="108" w:type="dxa"/>
            <w:bottom w:w="0" w:type="dxa"/>
            <w:right w:w="108" w:type="dxa"/>
          </w:tblCellMar>
        </w:tblPrEx>
        <w:trPr>
          <w:trHeight w:val="360" w:hRule="atLeast"/>
        </w:trPr>
        <w:tc>
          <w:tcPr>
            <w:tcW w:w="9324" w:type="dxa"/>
            <w:gridSpan w:val="10"/>
            <w:tcBorders>
              <w:top w:val="nil"/>
              <w:left w:val="nil"/>
              <w:bottom w:val="nil"/>
              <w:right w:val="nil"/>
            </w:tcBorders>
            <w:vAlign w:val="center"/>
          </w:tcPr>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6.“</w:t>
            </w:r>
            <w:r>
              <w:rPr>
                <w:rFonts w:hint="eastAsia" w:ascii="仿宋" w:hAnsi="仿宋" w:eastAsia="仿宋"/>
                <w:b/>
                <w:color w:val="000000"/>
                <w:sz w:val="32"/>
                <w:szCs w:val="32"/>
              </w:rPr>
              <w:t>单位运行劳务费</w:t>
            </w:r>
            <w:r>
              <w:rPr>
                <w:rFonts w:hint="eastAsia" w:ascii="仿宋_GB2312" w:hAnsi="楷体" w:eastAsia="仿宋_GB2312"/>
                <w:b/>
                <w:sz w:val="32"/>
                <w:szCs w:val="32"/>
              </w:rPr>
              <w:t>”项目。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（1）项目概述。</w:t>
            </w:r>
            <w:r>
              <w:rPr>
                <w:rFonts w:hint="eastAsia" w:ascii="仿宋" w:hAnsi="仿宋" w:eastAsia="仿宋"/>
                <w:color w:val="000000"/>
                <w:sz w:val="32"/>
                <w:szCs w:val="32"/>
              </w:rPr>
              <w:t>公益性岗位续聘人员1名，每月工资2950元，单位缴纳社保841.64元。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（2）立项依据。</w:t>
            </w:r>
            <w:r>
              <w:rPr>
                <w:rFonts w:hint="eastAsia" w:ascii="仿宋" w:hAnsi="仿宋" w:eastAsia="仿宋"/>
                <w:sz w:val="32"/>
                <w:szCs w:val="32"/>
              </w:rPr>
              <w:t>2021年相山区公益性岗位（第二批）招聘公告</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（3）实施主体：淮北市司法局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（4）起止时间。2024年1月-2024年12月</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（5）项目内容。</w:t>
            </w:r>
            <w:r>
              <w:rPr>
                <w:rFonts w:hint="eastAsia" w:ascii="仿宋" w:hAnsi="仿宋" w:eastAsia="仿宋"/>
                <w:color w:val="000000"/>
                <w:sz w:val="32"/>
                <w:szCs w:val="32"/>
              </w:rPr>
              <w:t>公益性岗位续聘人员1名，每月工资2950元，单位缴纳社保841.64元。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（6）年度预算安排为5.5万元。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（7）绩效目标。</w:t>
            </w:r>
          </w:p>
          <w:p>
            <w:pPr>
              <w:ind w:firstLine="2730" w:firstLineChars="850"/>
              <w:rPr>
                <w:b/>
                <w:bCs/>
                <w:sz w:val="32"/>
                <w:szCs w:val="32"/>
              </w:rPr>
            </w:pPr>
          </w:p>
          <w:p>
            <w:pPr>
              <w:ind w:firstLine="2730" w:firstLineChars="850"/>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324" w:type="dxa"/>
            <w:gridSpan w:val="10"/>
            <w:tcBorders>
              <w:top w:val="nil"/>
              <w:left w:val="nil"/>
              <w:bottom w:val="nil"/>
              <w:right w:val="nil"/>
            </w:tcBorders>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项目名称</w:t>
            </w:r>
          </w:p>
        </w:tc>
        <w:tc>
          <w:tcPr>
            <w:tcW w:w="8088" w:type="dxa"/>
            <w:gridSpan w:val="8"/>
            <w:tcBorders>
              <w:top w:val="single" w:color="auto" w:sz="4" w:space="0"/>
              <w:left w:val="nil"/>
              <w:bottom w:val="single" w:color="auto" w:sz="4" w:space="0"/>
              <w:right w:val="single" w:color="000000" w:sz="4" w:space="0"/>
            </w:tcBorders>
            <w:vAlign w:val="center"/>
          </w:tcPr>
          <w:p>
            <w:pPr>
              <w:rPr>
                <w:rFonts w:ascii="宋体" w:hAnsi="宋体" w:cs="宋体"/>
                <w:color w:val="000000"/>
                <w:sz w:val="20"/>
                <w:szCs w:val="20"/>
              </w:rPr>
            </w:pPr>
            <w:r>
              <w:rPr>
                <w:rFonts w:hint="eastAsia" w:ascii="Times New Roman" w:hAnsi="Times New Roman" w:eastAsia="宋体" w:cs="Times New Roman"/>
                <w:color w:val="000000"/>
                <w:sz w:val="20"/>
                <w:szCs w:val="20"/>
              </w:rPr>
              <w:t>单位运行劳务费</w:t>
            </w:r>
          </w:p>
        </w:tc>
      </w:tr>
      <w:tr>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实施单位</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 w:val="20"/>
                <w:szCs w:val="20"/>
              </w:rPr>
            </w:pPr>
            <w:r>
              <w:rPr>
                <w:rFonts w:hint="eastAsia"/>
                <w:color w:val="000000"/>
                <w:sz w:val="20"/>
                <w:szCs w:val="20"/>
              </w:rPr>
              <w:t>淮北市司法局</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项目属性</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eastAsia="宋体"/>
                <w:sz w:val="20"/>
                <w:szCs w:val="20"/>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中期资金总额：</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10.64</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年度资金总额：</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5.5</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10.64</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5.5</w:t>
            </w:r>
          </w:p>
        </w:tc>
      </w:tr>
      <w:tr>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2128"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总</w:t>
            </w:r>
          </w:p>
          <w:p>
            <w:pPr>
              <w:jc w:val="center"/>
              <w:rPr>
                <w:rFonts w:eastAsia="宋体"/>
                <w:sz w:val="20"/>
                <w:szCs w:val="20"/>
              </w:rPr>
            </w:pPr>
            <w:r>
              <w:rPr>
                <w:rFonts w:hint="eastAsia"/>
                <w:sz w:val="20"/>
                <w:szCs w:val="20"/>
              </w:rPr>
              <w:t>体</w:t>
            </w:r>
          </w:p>
          <w:p>
            <w:pPr>
              <w:jc w:val="center"/>
              <w:rPr>
                <w:rFonts w:eastAsia="宋体"/>
                <w:sz w:val="20"/>
                <w:szCs w:val="20"/>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pPr>
              <w:jc w:val="center"/>
              <w:rPr>
                <w:rFonts w:ascii="宋体" w:hAnsi="宋体" w:cs="宋体"/>
                <w:sz w:val="20"/>
                <w:szCs w:val="20"/>
              </w:rPr>
            </w:pPr>
            <w:r>
              <w:rPr>
                <w:rFonts w:hint="eastAsia"/>
                <w:sz w:val="20"/>
                <w:szCs w:val="20"/>
              </w:rPr>
              <w:t>中期目标（2022年—2025年）</w:t>
            </w:r>
          </w:p>
        </w:tc>
        <w:tc>
          <w:tcPr>
            <w:tcW w:w="3497"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tcPr>
          <w:p>
            <w:r>
              <w:rPr>
                <w:rFonts w:hint="eastAsia"/>
                <w:sz w:val="20"/>
                <w:szCs w:val="20"/>
              </w:rPr>
              <w:t xml:space="preserve"> 根据2020年相山区公益性岗位（第二批）招聘公告， 聘用4名人员，辅助机关日常工作。</w:t>
            </w:r>
          </w:p>
        </w:tc>
        <w:tc>
          <w:tcPr>
            <w:tcW w:w="3497" w:type="dxa"/>
            <w:gridSpan w:val="4"/>
            <w:tcBorders>
              <w:top w:val="single" w:color="auto" w:sz="4" w:space="0"/>
              <w:left w:val="single" w:color="auto" w:sz="4" w:space="0"/>
              <w:bottom w:val="single" w:color="auto" w:sz="4" w:space="0"/>
              <w:right w:val="single" w:color="000000" w:sz="4" w:space="0"/>
            </w:tcBorders>
          </w:tcPr>
          <w:p>
            <w:pPr>
              <w:pStyle w:val="7"/>
              <w:ind w:left="420" w:firstLine="400"/>
            </w:pPr>
            <w:r>
              <w:rPr>
                <w:rFonts w:hint="eastAsia"/>
                <w:sz w:val="20"/>
                <w:szCs w:val="20"/>
              </w:rPr>
              <w:t xml:space="preserve">根据2020年相山区公益性岗位（第二批）招聘公告， 聘用4名人员，辅助机关日常工作。 </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绩</w:t>
            </w:r>
          </w:p>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vAlign w:val="center"/>
          </w:tcPr>
          <w:p>
            <w:pPr>
              <w:jc w:val="center"/>
              <w:rPr>
                <w:rFonts w:eastAsia="宋体"/>
                <w:sz w:val="20"/>
                <w:szCs w:val="20"/>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三级指标</w:t>
            </w:r>
          </w:p>
        </w:tc>
        <w:tc>
          <w:tcPr>
            <w:tcW w:w="120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928"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c>
          <w:tcPr>
            <w:tcW w:w="677"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40" w:type="dxa"/>
            <w:tcBorders>
              <w:top w:val="nil"/>
              <w:left w:val="nil"/>
              <w:bottom w:val="single" w:color="auto" w:sz="4" w:space="0"/>
              <w:right w:val="nil"/>
            </w:tcBorders>
            <w:vAlign w:val="center"/>
          </w:tcPr>
          <w:p>
            <w:pPr>
              <w:jc w:val="center"/>
              <w:rPr>
                <w:rFonts w:ascii="宋体" w:hAnsi="宋体" w:cs="宋体"/>
                <w:sz w:val="20"/>
                <w:szCs w:val="20"/>
              </w:rPr>
            </w:pPr>
            <w:r>
              <w:rPr>
                <w:rFonts w:hint="eastAsia"/>
                <w:sz w:val="20"/>
                <w:szCs w:val="20"/>
              </w:rPr>
              <w:t>三级指标</w:t>
            </w:r>
          </w:p>
        </w:tc>
        <w:tc>
          <w:tcPr>
            <w:tcW w:w="840" w:type="dxa"/>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84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r>
      <w:tr>
        <w:trPr>
          <w:trHeight w:val="1347"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产</w:t>
            </w:r>
          </w:p>
          <w:p>
            <w:pPr>
              <w:jc w:val="center"/>
              <w:rPr>
                <w:rFonts w:eastAsia="宋体"/>
                <w:sz w:val="20"/>
                <w:szCs w:val="20"/>
              </w:rPr>
            </w:pPr>
            <w:r>
              <w:rPr>
                <w:rFonts w:hint="eastAsia"/>
                <w:sz w:val="20"/>
                <w:szCs w:val="20"/>
              </w:rPr>
              <w:t>出</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聘用4名人员，辅助机关日常工作</w:t>
            </w:r>
          </w:p>
        </w:tc>
        <w:tc>
          <w:tcPr>
            <w:tcW w:w="12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4人</w:t>
            </w:r>
          </w:p>
        </w:tc>
        <w:tc>
          <w:tcPr>
            <w:tcW w:w="9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4人</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聘用4名人员，辅助机关日常工作</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4人</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4人</w:t>
            </w:r>
          </w:p>
        </w:tc>
      </w:tr>
      <w:tr>
        <w:tblPrEx>
          <w:tblCellMar>
            <w:top w:w="0" w:type="dxa"/>
            <w:left w:w="108" w:type="dxa"/>
            <w:bottom w:w="0" w:type="dxa"/>
            <w:right w:w="108" w:type="dxa"/>
          </w:tblCellMar>
        </w:tblPrEx>
        <w:trPr>
          <w:trHeight w:val="124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保质保量完成辅助机关日常工作</w:t>
            </w:r>
          </w:p>
        </w:tc>
        <w:tc>
          <w:tcPr>
            <w:tcW w:w="1200"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w:t>
            </w:r>
          </w:p>
        </w:tc>
        <w:tc>
          <w:tcPr>
            <w:tcW w:w="928"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保质保量完成辅助机关日常工作</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w:t>
            </w:r>
          </w:p>
        </w:tc>
      </w:tr>
      <w:tr>
        <w:tblPrEx>
          <w:tblCellMar>
            <w:top w:w="0" w:type="dxa"/>
            <w:left w:w="108" w:type="dxa"/>
            <w:bottom w:w="0" w:type="dxa"/>
            <w:right w:w="108" w:type="dxa"/>
          </w:tblCellMar>
        </w:tblPrEx>
        <w:trPr>
          <w:trHeight w:val="212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nil"/>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按照年度预算安排，资金拨付到位</w:t>
            </w:r>
          </w:p>
        </w:tc>
        <w:tc>
          <w:tcPr>
            <w:tcW w:w="1200"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928"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按照年度预算安排，资金拨付到位</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严格控制成本，不超年度预算，年度预决算占比率</w:t>
            </w:r>
          </w:p>
        </w:tc>
        <w:tc>
          <w:tcPr>
            <w:tcW w:w="12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9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677"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严格控制成本，不超年度预算，年度预决算占比率</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r>
      <w:tr>
        <w:trPr>
          <w:trHeight w:val="2181" w:hRule="atLeast"/>
        </w:trPr>
        <w:tc>
          <w:tcPr>
            <w:tcW w:w="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益</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经济效益指标</w:t>
            </w:r>
          </w:p>
        </w:tc>
        <w:tc>
          <w:tcPr>
            <w:tcW w:w="1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120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928"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社会效益指标</w:t>
            </w:r>
          </w:p>
        </w:tc>
        <w:tc>
          <w:tcPr>
            <w:tcW w:w="1523" w:type="dxa"/>
            <w:vMerge w:val="restart"/>
            <w:tcBorders>
              <w:top w:val="single" w:color="auto" w:sz="4" w:space="0"/>
              <w:left w:val="single" w:color="auto" w:sz="4" w:space="0"/>
              <w:right w:val="single" w:color="auto" w:sz="4" w:space="0"/>
            </w:tcBorders>
            <w:vAlign w:val="center"/>
          </w:tcPr>
          <w:p>
            <w:pPr>
              <w:rPr>
                <w:rFonts w:eastAsia="宋体"/>
                <w:sz w:val="20"/>
                <w:szCs w:val="20"/>
              </w:rPr>
            </w:pPr>
            <w:r>
              <w:rPr>
                <w:rFonts w:hint="eastAsia"/>
                <w:sz w:val="20"/>
                <w:szCs w:val="20"/>
              </w:rPr>
              <w:t xml:space="preserve"> 指标1：机关23年运行工作完成率</w:t>
            </w:r>
          </w:p>
          <w:p>
            <w:pPr>
              <w:rPr>
                <w:rFonts w:ascii="宋体" w:hAnsi="宋体" w:cs="宋体"/>
                <w:sz w:val="20"/>
                <w:szCs w:val="20"/>
              </w:rPr>
            </w:pPr>
          </w:p>
        </w:tc>
        <w:tc>
          <w:tcPr>
            <w:tcW w:w="120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100%</w:t>
            </w:r>
            <w:r>
              <w:rPr>
                <w:rFonts w:hint="eastAsia"/>
                <w:sz w:val="20"/>
                <w:szCs w:val="20"/>
              </w:rPr>
              <w:t>　</w:t>
            </w:r>
          </w:p>
        </w:tc>
        <w:tc>
          <w:tcPr>
            <w:tcW w:w="928"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100%</w:t>
            </w:r>
            <w:r>
              <w:rPr>
                <w:rFonts w:hint="eastAsia"/>
                <w:sz w:val="20"/>
                <w:szCs w:val="20"/>
              </w:rPr>
              <w:t>　</w:t>
            </w:r>
          </w:p>
          <w:p>
            <w:pPr>
              <w:rPr>
                <w:rFonts w:ascii="宋体" w:hAnsi="宋体" w:cs="宋体"/>
                <w:sz w:val="20"/>
                <w:szCs w:val="20"/>
              </w:rPr>
            </w:pPr>
          </w:p>
        </w:tc>
        <w:tc>
          <w:tcPr>
            <w:tcW w:w="677" w:type="dxa"/>
            <w:vMerge w:val="restart"/>
            <w:tcBorders>
              <w:top w:val="single" w:color="auto" w:sz="4" w:space="0"/>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140" w:type="dxa"/>
            <w:vMerge w:val="restart"/>
            <w:tcBorders>
              <w:top w:val="single" w:color="auto" w:sz="4" w:space="0"/>
              <w:left w:val="nil"/>
              <w:right w:val="single" w:color="auto" w:sz="4" w:space="0"/>
            </w:tcBorders>
            <w:vAlign w:val="center"/>
          </w:tcPr>
          <w:p>
            <w:pPr>
              <w:rPr>
                <w:rFonts w:eastAsia="宋体"/>
                <w:sz w:val="20"/>
                <w:szCs w:val="20"/>
              </w:rPr>
            </w:pPr>
            <w:r>
              <w:rPr>
                <w:rFonts w:hint="eastAsia"/>
                <w:sz w:val="20"/>
                <w:szCs w:val="20"/>
              </w:rPr>
              <w:t xml:space="preserve"> 指标1：机关23年运行工作完成率</w:t>
            </w:r>
          </w:p>
          <w:p>
            <w:pPr>
              <w:rPr>
                <w:rFonts w:ascii="宋体" w:hAnsi="宋体" w:cs="宋体"/>
                <w:sz w:val="20"/>
                <w:szCs w:val="20"/>
              </w:rPr>
            </w:pP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100%</w:t>
            </w:r>
            <w:r>
              <w:rPr>
                <w:rFonts w:hint="eastAsia"/>
                <w:sz w:val="20"/>
                <w:szCs w:val="20"/>
              </w:rPr>
              <w:t>　</w:t>
            </w:r>
          </w:p>
          <w:p>
            <w:pPr>
              <w:rPr>
                <w:rFonts w:ascii="宋体" w:hAnsi="宋体" w:cs="宋体"/>
                <w:sz w:val="20"/>
                <w:szCs w:val="20"/>
              </w:rPr>
            </w:pPr>
          </w:p>
        </w:tc>
        <w:tc>
          <w:tcPr>
            <w:tcW w:w="840" w:type="dxa"/>
            <w:tcBorders>
              <w:top w:val="single" w:color="auto" w:sz="4" w:space="0"/>
              <w:left w:val="single" w:color="auto" w:sz="4" w:space="0"/>
              <w:bottom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100%</w:t>
            </w:r>
            <w:r>
              <w:rPr>
                <w:rFonts w:hint="eastAsia"/>
                <w:sz w:val="20"/>
                <w:szCs w:val="20"/>
              </w:rPr>
              <w:t>　</w:t>
            </w:r>
          </w:p>
          <w:p>
            <w:pPr>
              <w:rPr>
                <w:rFonts w:ascii="宋体" w:hAnsi="宋体" w:cs="宋体"/>
                <w:sz w:val="20"/>
                <w:szCs w:val="20"/>
              </w:rPr>
            </w:pPr>
          </w:p>
        </w:tc>
      </w:tr>
      <w:tr>
        <w:tblPrEx>
          <w:tblCellMar>
            <w:top w:w="0" w:type="dxa"/>
            <w:left w:w="108" w:type="dxa"/>
            <w:bottom w:w="0" w:type="dxa"/>
            <w:right w:w="108" w:type="dxa"/>
          </w:tblCellMar>
        </w:tblPrEx>
        <w:trPr>
          <w:trHeight w:val="9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single" w:color="auto" w:sz="4" w:space="0"/>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523" w:type="dxa"/>
            <w:vMerge w:val="restart"/>
            <w:tcBorders>
              <w:top w:val="nil"/>
              <w:left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120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tc>
        <w:tc>
          <w:tcPr>
            <w:tcW w:w="928"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140" w:type="dxa"/>
            <w:tcBorders>
              <w:top w:val="single" w:color="auto" w:sz="4" w:space="0"/>
              <w:left w:val="single" w:color="auto" w:sz="4" w:space="0"/>
              <w:bottom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84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p>
            <w:pPr>
              <w:rPr>
                <w:rFonts w:ascii="宋体" w:hAnsi="宋体" w:cs="宋体"/>
                <w:sz w:val="20"/>
                <w:szCs w:val="20"/>
              </w:rPr>
            </w:pPr>
          </w:p>
        </w:tc>
      </w:tr>
      <w:tr>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指标1：提升法治建设影响力</w:t>
            </w:r>
          </w:p>
        </w:tc>
        <w:tc>
          <w:tcPr>
            <w:tcW w:w="1200" w:type="dxa"/>
            <w:tcBorders>
              <w:top w:val="nil"/>
              <w:left w:val="nil"/>
              <w:bottom w:val="single" w:color="auto" w:sz="4" w:space="0"/>
              <w:right w:val="single" w:color="auto" w:sz="4" w:space="0"/>
            </w:tcBorders>
            <w:vAlign w:val="center"/>
          </w:tcPr>
          <w:p>
            <w:pPr>
              <w:rPr>
                <w:rFonts w:ascii="宋体" w:hAnsi="宋体" w:eastAsia="宋体" w:cs="宋体"/>
                <w:sz w:val="20"/>
                <w:szCs w:val="20"/>
              </w:rPr>
            </w:pPr>
            <w:r>
              <w:rPr>
                <w:rFonts w:hint="eastAsia" w:ascii="宋体" w:hAnsi="宋体"/>
                <w:sz w:val="20"/>
                <w:szCs w:val="20"/>
              </w:rPr>
              <w:t>较高</w:t>
            </w:r>
          </w:p>
        </w:tc>
        <w:tc>
          <w:tcPr>
            <w:tcW w:w="928" w:type="dxa"/>
            <w:tcBorders>
              <w:top w:val="nil"/>
              <w:left w:val="nil"/>
              <w:bottom w:val="single" w:color="auto" w:sz="4" w:space="0"/>
              <w:right w:val="single" w:color="auto" w:sz="4" w:space="0"/>
            </w:tcBorders>
            <w:vAlign w:val="center"/>
          </w:tcPr>
          <w:p>
            <w:pPr>
              <w:rPr>
                <w:rFonts w:ascii="宋体" w:hAnsi="宋体" w:eastAsia="宋体" w:cs="宋体"/>
                <w:sz w:val="20"/>
                <w:szCs w:val="20"/>
              </w:rPr>
            </w:pPr>
            <w:r>
              <w:rPr>
                <w:rFonts w:hint="eastAsia" w:ascii="宋体" w:hAnsi="宋体"/>
                <w:sz w:val="20"/>
                <w:szCs w:val="20"/>
              </w:rPr>
              <w:t>较高</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指标1：提升法治建设影响力</w:t>
            </w:r>
          </w:p>
        </w:tc>
        <w:tc>
          <w:tcPr>
            <w:tcW w:w="840" w:type="dxa"/>
            <w:tcBorders>
              <w:top w:val="nil"/>
              <w:left w:val="nil"/>
              <w:bottom w:val="single" w:color="auto" w:sz="4" w:space="0"/>
              <w:right w:val="single" w:color="auto" w:sz="4" w:space="0"/>
            </w:tcBorders>
            <w:vAlign w:val="center"/>
          </w:tcPr>
          <w:p>
            <w:pPr>
              <w:rPr>
                <w:rFonts w:ascii="宋体" w:hAnsi="宋体" w:eastAsia="宋体" w:cs="宋体"/>
                <w:sz w:val="20"/>
                <w:szCs w:val="20"/>
              </w:rPr>
            </w:pPr>
            <w:r>
              <w:rPr>
                <w:rFonts w:hint="eastAsia" w:ascii="宋体" w:hAnsi="宋体"/>
                <w:sz w:val="20"/>
                <w:szCs w:val="20"/>
              </w:rPr>
              <w:t>较高</w:t>
            </w:r>
          </w:p>
        </w:tc>
        <w:tc>
          <w:tcPr>
            <w:tcW w:w="840" w:type="dxa"/>
            <w:tcBorders>
              <w:top w:val="nil"/>
              <w:left w:val="nil"/>
              <w:bottom w:val="single" w:color="auto" w:sz="4" w:space="0"/>
              <w:right w:val="single" w:color="auto" w:sz="4" w:space="0"/>
            </w:tcBorders>
            <w:vAlign w:val="center"/>
          </w:tcPr>
          <w:p>
            <w:pPr>
              <w:rPr>
                <w:rFonts w:ascii="宋体" w:hAnsi="宋体" w:eastAsia="宋体" w:cs="宋体"/>
                <w:sz w:val="20"/>
                <w:szCs w:val="20"/>
              </w:rPr>
            </w:pPr>
            <w:r>
              <w:rPr>
                <w:rFonts w:hint="eastAsia" w:ascii="宋体" w:hAnsi="宋体"/>
                <w:sz w:val="20"/>
                <w:szCs w:val="20"/>
              </w:rPr>
              <w:t>较高</w:t>
            </w:r>
          </w:p>
        </w:tc>
      </w:tr>
      <w:tr>
        <w:tblPrEx>
          <w:tblCellMar>
            <w:top w:w="0" w:type="dxa"/>
            <w:left w:w="108" w:type="dxa"/>
            <w:bottom w:w="0" w:type="dxa"/>
            <w:right w:w="108" w:type="dxa"/>
          </w:tblCellMar>
        </w:tblPrEx>
        <w:trPr>
          <w:trHeight w:val="2059"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服务对象满意度指标</w:t>
            </w:r>
          </w:p>
          <w:p>
            <w:pPr>
              <w:jc w:val="center"/>
              <w:rPr>
                <w:rFonts w:ascii="宋体" w:hAnsi="宋体" w:cs="宋体"/>
                <w:sz w:val="20"/>
                <w:szCs w:val="20"/>
              </w:rPr>
            </w:pPr>
          </w:p>
        </w:tc>
        <w:tc>
          <w:tcPr>
            <w:tcW w:w="1523"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sz w:val="20"/>
                <w:szCs w:val="20"/>
              </w:rPr>
            </w:pPr>
            <w:r>
              <w:rPr>
                <w:rFonts w:hint="eastAsia"/>
                <w:sz w:val="20"/>
                <w:szCs w:val="20"/>
              </w:rPr>
              <w:t>度指标</w:t>
            </w:r>
          </w:p>
          <w:p>
            <w:pPr>
              <w:jc w:val="center"/>
              <w:rPr>
                <w:rFonts w:ascii="宋体" w:hAnsi="宋体" w:cs="宋体"/>
                <w:sz w:val="20"/>
                <w:szCs w:val="20"/>
              </w:rPr>
            </w:pPr>
          </w:p>
        </w:tc>
        <w:tc>
          <w:tcPr>
            <w:tcW w:w="11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r>
    </w:tbl>
    <w:p>
      <w:pPr>
        <w:ind w:left="638" w:leftChars="304"/>
        <w:rPr>
          <w:rFonts w:ascii="仿宋" w:hAnsi="仿宋" w:eastAsia="仿宋"/>
          <w:color w:val="000000"/>
          <w:sz w:val="32"/>
          <w:szCs w:val="32"/>
        </w:rPr>
      </w:pPr>
    </w:p>
    <w:tbl>
      <w:tblPr>
        <w:tblStyle w:val="8"/>
        <w:tblW w:w="9324" w:type="dxa"/>
        <w:tblInd w:w="93" w:type="dxa"/>
        <w:tblLayout w:type="fixed"/>
        <w:tblCellMar>
          <w:top w:w="0" w:type="dxa"/>
          <w:left w:w="108" w:type="dxa"/>
          <w:bottom w:w="0" w:type="dxa"/>
          <w:right w:w="108" w:type="dxa"/>
        </w:tblCellMar>
      </w:tblPr>
      <w:tblGrid>
        <w:gridCol w:w="416"/>
        <w:gridCol w:w="820"/>
        <w:gridCol w:w="940"/>
        <w:gridCol w:w="1523"/>
        <w:gridCol w:w="1200"/>
        <w:gridCol w:w="928"/>
        <w:gridCol w:w="677"/>
        <w:gridCol w:w="1140"/>
        <w:gridCol w:w="840"/>
        <w:gridCol w:w="840"/>
      </w:tblGrid>
      <w:tr>
        <w:tblPrEx>
          <w:tblCellMar>
            <w:top w:w="0" w:type="dxa"/>
            <w:left w:w="108" w:type="dxa"/>
            <w:bottom w:w="0" w:type="dxa"/>
            <w:right w:w="108" w:type="dxa"/>
          </w:tblCellMar>
        </w:tblPrEx>
        <w:trPr>
          <w:trHeight w:val="360" w:hRule="atLeast"/>
        </w:trPr>
        <w:tc>
          <w:tcPr>
            <w:tcW w:w="9324" w:type="dxa"/>
            <w:gridSpan w:val="10"/>
            <w:tcBorders>
              <w:top w:val="nil"/>
              <w:left w:val="nil"/>
              <w:bottom w:val="nil"/>
              <w:right w:val="nil"/>
            </w:tcBorders>
            <w:vAlign w:val="center"/>
          </w:tcPr>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7.“</w:t>
            </w:r>
            <w:r>
              <w:rPr>
                <w:rFonts w:hint="eastAsia" w:ascii="仿宋" w:hAnsi="仿宋" w:eastAsia="仿宋"/>
                <w:b/>
                <w:color w:val="000000"/>
                <w:sz w:val="32"/>
                <w:szCs w:val="32"/>
              </w:rPr>
              <w:t>国家法律职业资格考试经费</w:t>
            </w:r>
            <w:r>
              <w:rPr>
                <w:rFonts w:hint="eastAsia" w:ascii="仿宋_GB2312" w:hAnsi="楷体" w:eastAsia="仿宋_GB2312"/>
                <w:b/>
                <w:sz w:val="32"/>
                <w:szCs w:val="32"/>
              </w:rPr>
              <w:t>”项目。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（1）项目概述。</w:t>
            </w:r>
            <w:r>
              <w:rPr>
                <w:rFonts w:hint="eastAsia" w:ascii="仿宋" w:hAnsi="仿宋" w:eastAsia="仿宋" w:cs="Times New Roman"/>
                <w:sz w:val="32"/>
                <w:szCs w:val="32"/>
              </w:rPr>
              <w:t>保障24年淮北市国家法律职业资格考试正常举办。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（2）立项依据。根据国家司法部以及相关部门对司法考试的相关规定设立。</w:t>
            </w:r>
          </w:p>
          <w:p>
            <w:pPr>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（3）实施主体：淮北市司法局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（4）起止时间。2024年1月-2024年12月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（5）项目内容。</w:t>
            </w:r>
            <w:r>
              <w:rPr>
                <w:rFonts w:hint="eastAsia" w:ascii="仿宋" w:hAnsi="仿宋" w:eastAsia="仿宋" w:cs="Times New Roman"/>
                <w:sz w:val="32"/>
                <w:szCs w:val="32"/>
              </w:rPr>
              <w:t>保障24年淮北市国家法律职业资格考试正常举办。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（6）年度预算安排为12万元。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（7）绩效目标。</w:t>
            </w:r>
          </w:p>
          <w:p>
            <w:pPr>
              <w:ind w:firstLine="2730" w:firstLineChars="850"/>
              <w:rPr>
                <w:b/>
                <w:bCs/>
                <w:sz w:val="32"/>
                <w:szCs w:val="32"/>
              </w:rPr>
            </w:pPr>
          </w:p>
          <w:p>
            <w:pPr>
              <w:ind w:firstLine="2730" w:firstLineChars="850"/>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324" w:type="dxa"/>
            <w:gridSpan w:val="10"/>
            <w:tcBorders>
              <w:top w:val="nil"/>
              <w:left w:val="nil"/>
              <w:bottom w:val="nil"/>
              <w:right w:val="nil"/>
            </w:tcBorders>
            <w:vAlign w:val="center"/>
          </w:tcPr>
          <w:p>
            <w:pPr>
              <w:jc w:val="center"/>
              <w:rPr>
                <w:rFonts w:ascii="宋体" w:hAnsi="宋体" w:cs="宋体"/>
                <w:sz w:val="20"/>
                <w:szCs w:val="20"/>
              </w:rPr>
            </w:pPr>
            <w:r>
              <w:rPr>
                <w:rFonts w:hint="eastAsia"/>
                <w:sz w:val="20"/>
                <w:szCs w:val="20"/>
              </w:rPr>
              <w:t>（2024年度）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项目名称</w:t>
            </w:r>
          </w:p>
        </w:tc>
        <w:tc>
          <w:tcPr>
            <w:tcW w:w="8088" w:type="dxa"/>
            <w:gridSpan w:val="8"/>
            <w:tcBorders>
              <w:top w:val="single" w:color="auto" w:sz="4" w:space="0"/>
              <w:left w:val="nil"/>
              <w:bottom w:val="single" w:color="auto" w:sz="4" w:space="0"/>
              <w:right w:val="single" w:color="000000" w:sz="4" w:space="0"/>
            </w:tcBorders>
            <w:vAlign w:val="center"/>
          </w:tcPr>
          <w:p>
            <w:pPr>
              <w:rPr>
                <w:rFonts w:ascii="宋体" w:hAnsi="宋体" w:cs="宋体"/>
                <w:color w:val="000000"/>
                <w:sz w:val="20"/>
                <w:szCs w:val="20"/>
              </w:rPr>
            </w:pPr>
            <w:r>
              <w:rPr>
                <w:rFonts w:hint="eastAsia" w:ascii="Times New Roman" w:hAnsi="Times New Roman" w:eastAsia="宋体" w:cs="Times New Roman"/>
                <w:color w:val="000000"/>
                <w:sz w:val="20"/>
                <w:szCs w:val="20"/>
              </w:rPr>
              <w:t>国家法律职业资格考试经费</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实施单位</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 w:val="20"/>
                <w:szCs w:val="20"/>
              </w:rPr>
            </w:pPr>
            <w:r>
              <w:rPr>
                <w:rFonts w:hint="eastAsia"/>
                <w:color w:val="000000"/>
                <w:sz w:val="20"/>
                <w:szCs w:val="20"/>
              </w:rPr>
              <w:t>淮北市司法局</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项目属性</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eastAsia="宋体"/>
                <w:sz w:val="20"/>
                <w:szCs w:val="20"/>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中期资金总额：</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ascii="宋体" w:hAnsi="宋体" w:eastAsia="宋体" w:cs="宋体"/>
                <w:sz w:val="20"/>
                <w:szCs w:val="20"/>
              </w:rPr>
              <w:t>50</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年度资金总额：</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12</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ascii="宋体" w:hAnsi="宋体" w:eastAsia="宋体" w:cs="宋体"/>
                <w:sz w:val="20"/>
                <w:szCs w:val="20"/>
              </w:rPr>
              <w:t>50</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12</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2128"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总</w:t>
            </w:r>
          </w:p>
          <w:p>
            <w:pPr>
              <w:jc w:val="center"/>
              <w:rPr>
                <w:rFonts w:eastAsia="宋体"/>
                <w:sz w:val="20"/>
                <w:szCs w:val="20"/>
              </w:rPr>
            </w:pPr>
            <w:r>
              <w:rPr>
                <w:rFonts w:hint="eastAsia"/>
                <w:sz w:val="20"/>
                <w:szCs w:val="20"/>
              </w:rPr>
              <w:t>体</w:t>
            </w:r>
          </w:p>
          <w:p>
            <w:pPr>
              <w:jc w:val="center"/>
              <w:rPr>
                <w:rFonts w:eastAsia="宋体"/>
                <w:sz w:val="20"/>
                <w:szCs w:val="20"/>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pPr>
              <w:jc w:val="center"/>
              <w:rPr>
                <w:rFonts w:ascii="宋体" w:hAnsi="宋体" w:cs="宋体"/>
                <w:sz w:val="20"/>
                <w:szCs w:val="20"/>
              </w:rPr>
            </w:pPr>
            <w:r>
              <w:rPr>
                <w:rFonts w:hint="eastAsia"/>
                <w:sz w:val="20"/>
                <w:szCs w:val="20"/>
              </w:rPr>
              <w:t>中期目标（2022年—2025年）</w:t>
            </w:r>
          </w:p>
        </w:tc>
        <w:tc>
          <w:tcPr>
            <w:tcW w:w="3497"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tcPr>
          <w:p>
            <w:r>
              <w:rPr>
                <w:rFonts w:hint="eastAsia"/>
                <w:sz w:val="20"/>
                <w:szCs w:val="20"/>
              </w:rPr>
              <w:t xml:space="preserve"> 顺利实现司法部“三个为零”“九个百分百”的目标，确保考试组织实施安全顺利，为报名考生提供热情服务。实现考试组织实施安全顺利，设置考点，考生顺利参考。</w:t>
            </w:r>
          </w:p>
        </w:tc>
        <w:tc>
          <w:tcPr>
            <w:tcW w:w="3497" w:type="dxa"/>
            <w:gridSpan w:val="4"/>
            <w:tcBorders>
              <w:top w:val="single" w:color="auto" w:sz="4" w:space="0"/>
              <w:left w:val="single" w:color="auto" w:sz="4" w:space="0"/>
              <w:bottom w:val="single" w:color="auto" w:sz="4" w:space="0"/>
              <w:right w:val="single" w:color="000000" w:sz="4" w:space="0"/>
            </w:tcBorders>
          </w:tcPr>
          <w:p>
            <w:pPr>
              <w:pStyle w:val="7"/>
              <w:ind w:left="0" w:leftChars="0" w:firstLine="0" w:firstLineChars="0"/>
            </w:pPr>
            <w:r>
              <w:rPr>
                <w:rFonts w:hint="eastAsia"/>
                <w:sz w:val="20"/>
                <w:szCs w:val="20"/>
              </w:rPr>
              <w:t>顺利实现司法部“三个为零”“九个百分百”的目标，确保考试组织实施安全顺利，为报名考生提供热情服务。实现考试组织实施安全顺利，设置考点，考生顺利参考。</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绩</w:t>
            </w:r>
          </w:p>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vAlign w:val="center"/>
          </w:tcPr>
          <w:p>
            <w:pPr>
              <w:jc w:val="center"/>
              <w:rPr>
                <w:rFonts w:eastAsia="宋体"/>
                <w:sz w:val="20"/>
                <w:szCs w:val="20"/>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三级指标</w:t>
            </w:r>
          </w:p>
        </w:tc>
        <w:tc>
          <w:tcPr>
            <w:tcW w:w="120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928"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c>
          <w:tcPr>
            <w:tcW w:w="677"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40" w:type="dxa"/>
            <w:tcBorders>
              <w:top w:val="nil"/>
              <w:left w:val="nil"/>
              <w:bottom w:val="single" w:color="auto" w:sz="4" w:space="0"/>
              <w:right w:val="nil"/>
            </w:tcBorders>
            <w:vAlign w:val="center"/>
          </w:tcPr>
          <w:p>
            <w:pPr>
              <w:jc w:val="center"/>
              <w:rPr>
                <w:rFonts w:ascii="宋体" w:hAnsi="宋体" w:cs="宋体"/>
                <w:sz w:val="20"/>
                <w:szCs w:val="20"/>
              </w:rPr>
            </w:pPr>
            <w:r>
              <w:rPr>
                <w:rFonts w:hint="eastAsia"/>
                <w:sz w:val="20"/>
                <w:szCs w:val="20"/>
              </w:rPr>
              <w:t>三级指标</w:t>
            </w:r>
          </w:p>
        </w:tc>
        <w:tc>
          <w:tcPr>
            <w:tcW w:w="840" w:type="dxa"/>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84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1347"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产</w:t>
            </w:r>
          </w:p>
          <w:p>
            <w:pPr>
              <w:jc w:val="center"/>
              <w:rPr>
                <w:rFonts w:eastAsia="宋体"/>
                <w:sz w:val="20"/>
                <w:szCs w:val="20"/>
              </w:rPr>
            </w:pPr>
            <w:r>
              <w:rPr>
                <w:rFonts w:hint="eastAsia"/>
                <w:sz w:val="20"/>
                <w:szCs w:val="20"/>
              </w:rPr>
              <w:t>出</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确定1处法考考点</w:t>
            </w:r>
          </w:p>
        </w:tc>
        <w:tc>
          <w:tcPr>
            <w:tcW w:w="12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1个</w:t>
            </w:r>
          </w:p>
        </w:tc>
        <w:tc>
          <w:tcPr>
            <w:tcW w:w="9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1个</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确定1处法考考点</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1个</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1个</w:t>
            </w:r>
          </w:p>
        </w:tc>
      </w:tr>
      <w:tr>
        <w:tblPrEx>
          <w:tblCellMar>
            <w:top w:w="0" w:type="dxa"/>
            <w:left w:w="108" w:type="dxa"/>
            <w:bottom w:w="0" w:type="dxa"/>
            <w:right w:w="108" w:type="dxa"/>
          </w:tblCellMar>
        </w:tblPrEx>
        <w:trPr>
          <w:trHeight w:val="124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保质保量完成达标升级工作</w:t>
            </w:r>
          </w:p>
        </w:tc>
        <w:tc>
          <w:tcPr>
            <w:tcW w:w="1200"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w:t>
            </w:r>
          </w:p>
        </w:tc>
        <w:tc>
          <w:tcPr>
            <w:tcW w:w="928"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保质保量完成达标升级工作</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w:t>
            </w:r>
          </w:p>
        </w:tc>
      </w:tr>
      <w:tr>
        <w:tblPrEx>
          <w:tblCellMar>
            <w:top w:w="0" w:type="dxa"/>
            <w:left w:w="108" w:type="dxa"/>
            <w:bottom w:w="0" w:type="dxa"/>
            <w:right w:w="108" w:type="dxa"/>
          </w:tblCellMar>
        </w:tblPrEx>
        <w:trPr>
          <w:trHeight w:val="212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nil"/>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资金及时足额到位</w:t>
            </w:r>
          </w:p>
        </w:tc>
        <w:tc>
          <w:tcPr>
            <w:tcW w:w="1200"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928"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资金及时足额到位</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严格控制成本，不超年度预算</w:t>
            </w:r>
          </w:p>
        </w:tc>
        <w:tc>
          <w:tcPr>
            <w:tcW w:w="12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严格控制成本，不超年度预算</w:t>
            </w:r>
          </w:p>
        </w:tc>
        <w:tc>
          <w:tcPr>
            <w:tcW w:w="9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严格控制成本，不超年度预算</w:t>
            </w:r>
          </w:p>
        </w:tc>
        <w:tc>
          <w:tcPr>
            <w:tcW w:w="677"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严格控制成本，不超年度预算</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严格控制成本，不超年度预算</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严格控制成本，不超年度预算</w:t>
            </w:r>
          </w:p>
        </w:tc>
      </w:tr>
      <w:tr>
        <w:tblPrEx>
          <w:tblCellMar>
            <w:top w:w="0" w:type="dxa"/>
            <w:left w:w="108" w:type="dxa"/>
            <w:bottom w:w="0" w:type="dxa"/>
            <w:right w:w="108" w:type="dxa"/>
          </w:tblCellMar>
        </w:tblPrEx>
        <w:trPr>
          <w:trHeight w:val="2181" w:hRule="atLeast"/>
        </w:trPr>
        <w:tc>
          <w:tcPr>
            <w:tcW w:w="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益</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经济效益指标</w:t>
            </w:r>
          </w:p>
        </w:tc>
        <w:tc>
          <w:tcPr>
            <w:tcW w:w="1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120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928"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社会效益指标</w:t>
            </w:r>
          </w:p>
        </w:tc>
        <w:tc>
          <w:tcPr>
            <w:tcW w:w="1523" w:type="dxa"/>
            <w:vMerge w:val="restart"/>
            <w:tcBorders>
              <w:top w:val="single" w:color="auto" w:sz="4" w:space="0"/>
              <w:left w:val="single" w:color="auto" w:sz="4" w:space="0"/>
              <w:right w:val="single" w:color="auto" w:sz="4" w:space="0"/>
            </w:tcBorders>
            <w:vAlign w:val="center"/>
          </w:tcPr>
          <w:p>
            <w:pPr>
              <w:rPr>
                <w:rFonts w:eastAsia="宋体"/>
                <w:sz w:val="20"/>
                <w:szCs w:val="20"/>
              </w:rPr>
            </w:pPr>
            <w:r>
              <w:rPr>
                <w:rFonts w:hint="eastAsia"/>
                <w:sz w:val="20"/>
                <w:szCs w:val="20"/>
              </w:rPr>
              <w:t xml:space="preserve"> 指标1：为国家提供高素质司法人才年增长率</w:t>
            </w:r>
          </w:p>
          <w:p>
            <w:pPr>
              <w:rPr>
                <w:rFonts w:ascii="宋体" w:hAnsi="宋体" w:cs="宋体"/>
                <w:sz w:val="20"/>
                <w:szCs w:val="20"/>
              </w:rPr>
            </w:pPr>
          </w:p>
        </w:tc>
        <w:tc>
          <w:tcPr>
            <w:tcW w:w="120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5%</w:t>
            </w:r>
            <w:r>
              <w:rPr>
                <w:rFonts w:hint="eastAsia"/>
                <w:sz w:val="20"/>
                <w:szCs w:val="20"/>
              </w:rPr>
              <w:t>　</w:t>
            </w:r>
          </w:p>
          <w:p>
            <w:pPr>
              <w:rPr>
                <w:rFonts w:ascii="宋体" w:hAnsi="宋体" w:cs="宋体"/>
                <w:sz w:val="20"/>
                <w:szCs w:val="20"/>
              </w:rPr>
            </w:pPr>
          </w:p>
          <w:p>
            <w:pPr>
              <w:rPr>
                <w:rFonts w:ascii="宋体" w:hAnsi="宋体" w:cs="宋体"/>
                <w:sz w:val="20"/>
                <w:szCs w:val="20"/>
              </w:rPr>
            </w:pPr>
          </w:p>
        </w:tc>
        <w:tc>
          <w:tcPr>
            <w:tcW w:w="928"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5%</w:t>
            </w:r>
            <w:r>
              <w:rPr>
                <w:rFonts w:hint="eastAsia"/>
                <w:sz w:val="20"/>
                <w:szCs w:val="20"/>
              </w:rPr>
              <w:t>　</w:t>
            </w:r>
          </w:p>
          <w:p>
            <w:pPr>
              <w:rPr>
                <w:rFonts w:ascii="宋体" w:hAnsi="宋体" w:cs="宋体"/>
                <w:sz w:val="20"/>
                <w:szCs w:val="20"/>
              </w:rPr>
            </w:pPr>
          </w:p>
          <w:p>
            <w:pPr>
              <w:rPr>
                <w:rFonts w:ascii="宋体" w:hAnsi="宋体" w:cs="宋体"/>
                <w:sz w:val="20"/>
                <w:szCs w:val="20"/>
              </w:rPr>
            </w:pPr>
          </w:p>
        </w:tc>
        <w:tc>
          <w:tcPr>
            <w:tcW w:w="677" w:type="dxa"/>
            <w:vMerge w:val="restart"/>
            <w:tcBorders>
              <w:top w:val="single" w:color="auto" w:sz="4" w:space="0"/>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140" w:type="dxa"/>
            <w:vMerge w:val="restart"/>
            <w:tcBorders>
              <w:top w:val="single" w:color="auto" w:sz="4" w:space="0"/>
              <w:left w:val="nil"/>
              <w:right w:val="single" w:color="auto" w:sz="4" w:space="0"/>
            </w:tcBorders>
            <w:vAlign w:val="center"/>
          </w:tcPr>
          <w:p>
            <w:pPr>
              <w:rPr>
                <w:rFonts w:eastAsia="宋体"/>
                <w:sz w:val="20"/>
                <w:szCs w:val="20"/>
              </w:rPr>
            </w:pPr>
            <w:r>
              <w:rPr>
                <w:rFonts w:hint="eastAsia"/>
                <w:sz w:val="20"/>
                <w:szCs w:val="20"/>
              </w:rPr>
              <w:t xml:space="preserve"> 指标1：为国家提供高素质司法人才年增长率</w:t>
            </w:r>
          </w:p>
          <w:p>
            <w:pPr>
              <w:rPr>
                <w:rFonts w:ascii="宋体" w:hAnsi="宋体" w:cs="宋体"/>
                <w:sz w:val="20"/>
                <w:szCs w:val="20"/>
              </w:rPr>
            </w:pP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5%</w:t>
            </w:r>
            <w:r>
              <w:rPr>
                <w:rFonts w:hint="eastAsia"/>
                <w:sz w:val="20"/>
                <w:szCs w:val="20"/>
              </w:rPr>
              <w:t>　</w:t>
            </w:r>
          </w:p>
          <w:p>
            <w:pPr>
              <w:rPr>
                <w:rFonts w:ascii="宋体" w:hAnsi="宋体" w:cs="宋体"/>
                <w:sz w:val="20"/>
                <w:szCs w:val="20"/>
              </w:rPr>
            </w:pPr>
          </w:p>
        </w:tc>
        <w:tc>
          <w:tcPr>
            <w:tcW w:w="840" w:type="dxa"/>
            <w:tcBorders>
              <w:top w:val="single" w:color="auto" w:sz="4" w:space="0"/>
              <w:left w:val="single" w:color="auto" w:sz="4" w:space="0"/>
              <w:bottom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5%</w:t>
            </w:r>
            <w:r>
              <w:rPr>
                <w:rFonts w:hint="eastAsia"/>
                <w:sz w:val="20"/>
                <w:szCs w:val="20"/>
              </w:rPr>
              <w:t>　</w:t>
            </w:r>
          </w:p>
          <w:p>
            <w:pPr>
              <w:rPr>
                <w:rFonts w:ascii="宋体" w:hAnsi="宋体" w:cs="宋体"/>
                <w:sz w:val="20"/>
                <w:szCs w:val="20"/>
              </w:rPr>
            </w:pPr>
          </w:p>
        </w:tc>
      </w:tr>
      <w:tr>
        <w:tblPrEx>
          <w:tblCellMar>
            <w:top w:w="0" w:type="dxa"/>
            <w:left w:w="108" w:type="dxa"/>
            <w:bottom w:w="0" w:type="dxa"/>
            <w:right w:w="108" w:type="dxa"/>
          </w:tblCellMar>
        </w:tblPrEx>
        <w:trPr>
          <w:trHeight w:val="9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single" w:color="auto" w:sz="4" w:space="0"/>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523" w:type="dxa"/>
            <w:vMerge w:val="restart"/>
            <w:tcBorders>
              <w:top w:val="nil"/>
              <w:left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120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p>
            <w:pPr>
              <w:rPr>
                <w:rFonts w:ascii="宋体" w:hAnsi="宋体" w:cs="宋体"/>
                <w:sz w:val="20"/>
                <w:szCs w:val="20"/>
              </w:rPr>
            </w:pPr>
          </w:p>
        </w:tc>
        <w:tc>
          <w:tcPr>
            <w:tcW w:w="928"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p>
            <w:pPr>
              <w:rPr>
                <w:rFonts w:ascii="宋体" w:hAnsi="宋体" w:cs="宋体"/>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140" w:type="dxa"/>
            <w:tcBorders>
              <w:top w:val="single" w:color="auto" w:sz="4" w:space="0"/>
              <w:left w:val="single" w:color="auto" w:sz="4" w:space="0"/>
              <w:bottom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84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指标1：提升法律在大众的影响力</w:t>
            </w:r>
          </w:p>
        </w:tc>
        <w:tc>
          <w:tcPr>
            <w:tcW w:w="1200" w:type="dxa"/>
            <w:tcBorders>
              <w:top w:val="nil"/>
              <w:left w:val="nil"/>
              <w:bottom w:val="single" w:color="auto" w:sz="4" w:space="0"/>
              <w:right w:val="single" w:color="auto" w:sz="4" w:space="0"/>
            </w:tcBorders>
            <w:vAlign w:val="center"/>
          </w:tcPr>
          <w:p>
            <w:pPr>
              <w:rPr>
                <w:rFonts w:ascii="宋体" w:hAnsi="宋体" w:eastAsia="宋体" w:cs="宋体"/>
                <w:sz w:val="20"/>
                <w:szCs w:val="20"/>
              </w:rPr>
            </w:pPr>
            <w:r>
              <w:rPr>
                <w:rFonts w:hint="eastAsia" w:ascii="宋体" w:hAnsi="宋体"/>
                <w:sz w:val="20"/>
                <w:szCs w:val="20"/>
              </w:rPr>
              <w:t>较高</w:t>
            </w:r>
          </w:p>
        </w:tc>
        <w:tc>
          <w:tcPr>
            <w:tcW w:w="928" w:type="dxa"/>
            <w:tcBorders>
              <w:top w:val="nil"/>
              <w:left w:val="nil"/>
              <w:bottom w:val="single" w:color="auto" w:sz="4" w:space="0"/>
              <w:right w:val="single" w:color="auto" w:sz="4" w:space="0"/>
            </w:tcBorders>
            <w:vAlign w:val="center"/>
          </w:tcPr>
          <w:p>
            <w:pPr>
              <w:rPr>
                <w:rFonts w:ascii="宋体" w:hAnsi="宋体" w:eastAsia="宋体" w:cs="宋体"/>
                <w:sz w:val="20"/>
                <w:szCs w:val="20"/>
              </w:rPr>
            </w:pPr>
            <w:r>
              <w:rPr>
                <w:rFonts w:hint="eastAsia" w:ascii="宋体" w:hAnsi="宋体"/>
                <w:sz w:val="20"/>
                <w:szCs w:val="20"/>
              </w:rPr>
              <w:t>较高</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指标1：提升法律在大众的影响力</w:t>
            </w:r>
          </w:p>
        </w:tc>
        <w:tc>
          <w:tcPr>
            <w:tcW w:w="840" w:type="dxa"/>
            <w:tcBorders>
              <w:top w:val="nil"/>
              <w:left w:val="nil"/>
              <w:bottom w:val="single" w:color="auto" w:sz="4" w:space="0"/>
              <w:right w:val="single" w:color="auto" w:sz="4" w:space="0"/>
            </w:tcBorders>
            <w:vAlign w:val="center"/>
          </w:tcPr>
          <w:p>
            <w:pPr>
              <w:rPr>
                <w:rFonts w:ascii="宋体" w:hAnsi="宋体" w:eastAsia="宋体" w:cs="宋体"/>
                <w:sz w:val="20"/>
                <w:szCs w:val="20"/>
              </w:rPr>
            </w:pPr>
            <w:r>
              <w:rPr>
                <w:rFonts w:hint="eastAsia" w:ascii="宋体" w:hAnsi="宋体"/>
                <w:sz w:val="20"/>
                <w:szCs w:val="20"/>
              </w:rPr>
              <w:t>较高</w:t>
            </w:r>
          </w:p>
        </w:tc>
        <w:tc>
          <w:tcPr>
            <w:tcW w:w="840" w:type="dxa"/>
            <w:tcBorders>
              <w:top w:val="nil"/>
              <w:left w:val="nil"/>
              <w:bottom w:val="single" w:color="auto" w:sz="4" w:space="0"/>
              <w:right w:val="single" w:color="auto" w:sz="4" w:space="0"/>
            </w:tcBorders>
            <w:vAlign w:val="center"/>
          </w:tcPr>
          <w:p>
            <w:pPr>
              <w:rPr>
                <w:rFonts w:ascii="宋体" w:hAnsi="宋体" w:eastAsia="宋体" w:cs="宋体"/>
                <w:sz w:val="20"/>
                <w:szCs w:val="20"/>
              </w:rPr>
            </w:pPr>
            <w:r>
              <w:rPr>
                <w:rFonts w:hint="eastAsia" w:ascii="宋体" w:hAnsi="宋体"/>
                <w:sz w:val="20"/>
                <w:szCs w:val="20"/>
              </w:rPr>
              <w:t>较高</w:t>
            </w:r>
          </w:p>
        </w:tc>
      </w:tr>
      <w:tr>
        <w:tblPrEx>
          <w:tblCellMar>
            <w:top w:w="0" w:type="dxa"/>
            <w:left w:w="108" w:type="dxa"/>
            <w:bottom w:w="0" w:type="dxa"/>
            <w:right w:w="108" w:type="dxa"/>
          </w:tblCellMar>
        </w:tblPrEx>
        <w:trPr>
          <w:trHeight w:val="2059"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服务对象满意度指标</w:t>
            </w:r>
          </w:p>
          <w:p>
            <w:pPr>
              <w:jc w:val="center"/>
              <w:rPr>
                <w:rFonts w:ascii="宋体" w:hAnsi="宋体" w:cs="宋体"/>
                <w:sz w:val="20"/>
                <w:szCs w:val="20"/>
              </w:rPr>
            </w:pPr>
          </w:p>
        </w:tc>
        <w:tc>
          <w:tcPr>
            <w:tcW w:w="1523"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0"/>
                <w:szCs w:val="20"/>
              </w:rPr>
            </w:pPr>
            <w:r>
              <w:rPr>
                <w:rFonts w:hint="eastAsia" w:ascii="宋体" w:hAnsi="宋体" w:cs="宋体"/>
                <w:color w:val="000000"/>
                <w:kern w:val="0"/>
                <w:sz w:val="18"/>
                <w:szCs w:val="18"/>
              </w:rPr>
              <w:t>保障考生能顺利完成司法考试</w:t>
            </w:r>
          </w:p>
          <w:p>
            <w:pPr>
              <w:jc w:val="center"/>
              <w:rPr>
                <w:rFonts w:ascii="宋体" w:hAnsi="宋体" w:cs="宋体"/>
                <w:sz w:val="20"/>
                <w:szCs w:val="20"/>
              </w:rPr>
            </w:pP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0"/>
                <w:szCs w:val="20"/>
              </w:rPr>
            </w:pPr>
            <w:r>
              <w:rPr>
                <w:rFonts w:hint="eastAsia" w:ascii="宋体" w:hAnsi="宋体" w:cs="宋体"/>
                <w:color w:val="000000"/>
                <w:kern w:val="0"/>
                <w:sz w:val="18"/>
                <w:szCs w:val="18"/>
              </w:rPr>
              <w:t>保障考生能顺利完成司法考试</w:t>
            </w:r>
          </w:p>
          <w:p>
            <w:pPr>
              <w:jc w:val="center"/>
              <w:rPr>
                <w:rFonts w:ascii="宋体" w:hAnsi="宋体" w:cs="宋体"/>
                <w:sz w:val="20"/>
                <w:szCs w:val="20"/>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sz w:val="20"/>
                <w:szCs w:val="20"/>
              </w:rPr>
            </w:pPr>
            <w:r>
              <w:rPr>
                <w:rFonts w:hint="eastAsia"/>
                <w:sz w:val="20"/>
                <w:szCs w:val="20"/>
              </w:rPr>
              <w:t>度指标</w:t>
            </w:r>
          </w:p>
          <w:p>
            <w:pPr>
              <w:jc w:val="center"/>
              <w:rPr>
                <w:rFonts w:ascii="宋体" w:hAnsi="宋体" w:cs="宋体"/>
                <w:sz w:val="20"/>
                <w:szCs w:val="20"/>
              </w:rPr>
            </w:pPr>
          </w:p>
        </w:tc>
        <w:tc>
          <w:tcPr>
            <w:tcW w:w="11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0"/>
                <w:szCs w:val="20"/>
              </w:rPr>
            </w:pPr>
            <w:r>
              <w:rPr>
                <w:rFonts w:hint="eastAsia" w:ascii="宋体" w:hAnsi="宋体" w:cs="宋体"/>
                <w:color w:val="000000"/>
                <w:kern w:val="0"/>
                <w:sz w:val="18"/>
                <w:szCs w:val="18"/>
              </w:rPr>
              <w:t>保障考生能顺利完成司法考试</w:t>
            </w:r>
          </w:p>
          <w:p>
            <w:pPr>
              <w:jc w:val="center"/>
              <w:rPr>
                <w:rFonts w:ascii="宋体" w:hAnsi="宋体" w:cs="宋体"/>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0"/>
                <w:szCs w:val="20"/>
              </w:rPr>
            </w:pPr>
            <w:r>
              <w:rPr>
                <w:rFonts w:hint="eastAsia" w:ascii="宋体" w:hAnsi="宋体" w:cs="宋体"/>
                <w:color w:val="000000"/>
                <w:kern w:val="0"/>
                <w:sz w:val="18"/>
                <w:szCs w:val="18"/>
              </w:rPr>
              <w:t>保障考生能顺利完成司法考试</w:t>
            </w:r>
          </w:p>
          <w:p>
            <w:pPr>
              <w:jc w:val="center"/>
              <w:rPr>
                <w:rFonts w:ascii="宋体" w:hAnsi="宋体" w:cs="宋体"/>
                <w:sz w:val="20"/>
                <w:szCs w:val="20"/>
              </w:rPr>
            </w:pPr>
          </w:p>
        </w:tc>
      </w:tr>
    </w:tbl>
    <w:p>
      <w:pPr>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8.“办案经费”项目。</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（1）项目概述。</w:t>
      </w:r>
      <w:r>
        <w:rPr>
          <w:rFonts w:hint="eastAsia" w:ascii="仿宋_GB2312" w:hAnsi="仿宋" w:eastAsia="仿宋_GB2312"/>
          <w:sz w:val="32"/>
          <w:szCs w:val="32"/>
        </w:rPr>
        <w:t>淮北仲裁委员会于1997年7月成立，由淮北市人民政府根据中华人民共和国仲裁法设立行使仲裁权的事业单位，根据淮北市有关文件精神，我委属于有收入的事业单位，负责仲裁案件的受理和立案。</w:t>
      </w:r>
      <w:r>
        <w:rPr>
          <w:rFonts w:hint="eastAsia" w:ascii="仿宋_GB2312" w:hAnsi="仿宋_GB2312" w:eastAsia="仿宋_GB2312" w:cs="仿宋_GB2312"/>
          <w:kern w:val="0"/>
          <w:sz w:val="32"/>
          <w:szCs w:val="32"/>
        </w:rPr>
        <w:t>用于淮北仲裁委员会秘书处日常开支。</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（2）立项依据。《中华人民共和国仲裁法》；</w:t>
      </w:r>
      <w:r>
        <w:rPr>
          <w:rFonts w:hint="eastAsia" w:ascii="仿宋_GB2312" w:hAnsi="仿宋_GB2312" w:eastAsia="仿宋_GB2312" w:cs="仿宋_GB2312"/>
          <w:sz w:val="32"/>
          <w:szCs w:val="32"/>
        </w:rPr>
        <w:t>中共中央办公厅 国务院办公厅《关于完善仲裁制度提高仲裁公信力的若干意见》（中办发〔2018〕76号）；中共安徽省委全面依法治省委员会《关于完善仲裁制度提高仲裁公信力的实施意见》（皖法办发〔2019〕21号）。</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（3）实施主体。</w:t>
      </w:r>
      <w:r>
        <w:rPr>
          <w:rFonts w:hint="eastAsia" w:ascii="仿宋_GB2312" w:hAnsi="楷体" w:eastAsia="仿宋_GB2312"/>
          <w:sz w:val="32"/>
          <w:szCs w:val="32"/>
        </w:rPr>
        <w:t>淮北仲裁委员会秘书处。</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（4）起止时间。2024年1-12月。</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（5）项目内容。用于淮北仲裁委员会秘书处日常开支。</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（6）年度预算安排。54.65万元。</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tbl>
      <w:tblPr>
        <w:tblStyle w:val="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442"/>
        <w:gridCol w:w="980"/>
        <w:gridCol w:w="788"/>
        <w:gridCol w:w="1606"/>
        <w:gridCol w:w="117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仿宋_GB2312" w:hAnsi="仿宋_GB2312" w:eastAsia="仿宋_GB2312" w:cs="仿宋_GB2312"/>
                <w:b/>
                <w:bCs/>
                <w:szCs w:val="32"/>
              </w:rPr>
            </w:pPr>
            <w:r>
              <w:rPr>
                <w:rFonts w:hint="eastAsia" w:ascii="宋体" w:hAnsi="宋体" w:eastAsia="宋体" w:cs="宋体"/>
                <w:color w:val="000000"/>
                <w:kern w:val="0"/>
                <w:sz w:val="40"/>
                <w:szCs w:val="40"/>
                <w:lang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401" w:type="dxa"/>
            <w:gridSpan w:val="3"/>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项目名称</w:t>
            </w:r>
          </w:p>
        </w:tc>
        <w:tc>
          <w:tcPr>
            <w:tcW w:w="5619" w:type="dxa"/>
            <w:gridSpan w:val="4"/>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办案经费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401" w:type="dxa"/>
            <w:gridSpan w:val="3"/>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主管部门及代码</w:t>
            </w:r>
          </w:p>
        </w:tc>
        <w:tc>
          <w:tcPr>
            <w:tcW w:w="2394"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淮北市司法局</w:t>
            </w:r>
          </w:p>
        </w:tc>
        <w:tc>
          <w:tcPr>
            <w:tcW w:w="1170" w:type="dxa"/>
            <w:tcBorders>
              <w:tl2br w:val="nil"/>
              <w:tr2bl w:val="nil"/>
            </w:tcBorders>
            <w:vAlign w:val="center"/>
          </w:tcPr>
          <w:p>
            <w:pPr>
              <w:widowControl/>
              <w:jc w:val="left"/>
              <w:textAlignment w:val="center"/>
              <w:rPr>
                <w:rFonts w:ascii="仿宋_GB2312" w:hAnsi="仿宋_GB2312" w:eastAsia="仿宋_GB2312" w:cs="仿宋_GB2312"/>
              </w:rPr>
            </w:pPr>
            <w:r>
              <w:rPr>
                <w:rFonts w:hint="eastAsia" w:ascii="宋体" w:hAnsi="宋体" w:eastAsia="宋体" w:cs="宋体"/>
                <w:color w:val="000000"/>
                <w:kern w:val="0"/>
                <w:sz w:val="20"/>
                <w:szCs w:val="20"/>
                <w:lang w:bidi="ar"/>
              </w:rPr>
              <w:t>实施单位</w:t>
            </w:r>
          </w:p>
        </w:tc>
        <w:tc>
          <w:tcPr>
            <w:tcW w:w="2055" w:type="dxa"/>
            <w:tcBorders>
              <w:tl2br w:val="nil"/>
              <w:tr2bl w:val="nil"/>
            </w:tcBorders>
            <w:vAlign w:val="center"/>
          </w:tcPr>
          <w:p>
            <w:pPr>
              <w:widowControl/>
              <w:jc w:val="center"/>
              <w:textAlignment w:val="center"/>
              <w:rPr>
                <w:rFonts w:ascii="仿宋_GB2312" w:hAnsi="仿宋_GB2312" w:eastAsia="仿宋_GB2312" w:cs="仿宋_GB2312"/>
              </w:rPr>
            </w:pPr>
            <w:r>
              <w:rPr>
                <w:rFonts w:hint="eastAsia" w:ascii="宋体" w:hAnsi="宋体" w:eastAsia="宋体" w:cs="宋体"/>
                <w:color w:val="000000"/>
                <w:kern w:val="0"/>
                <w:szCs w:val="21"/>
                <w:lang w:bidi="ar"/>
              </w:rPr>
              <w:t>淮北仲裁委员会秘书处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401" w:type="dxa"/>
            <w:gridSpan w:val="3"/>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项目来源</w:t>
            </w:r>
          </w:p>
        </w:tc>
        <w:tc>
          <w:tcPr>
            <w:tcW w:w="2394" w:type="dxa"/>
            <w:gridSpan w:val="2"/>
            <w:tcBorders>
              <w:tl2br w:val="nil"/>
              <w:tr2bl w:val="nil"/>
            </w:tcBorders>
            <w:vAlign w:val="center"/>
          </w:tcPr>
          <w:p>
            <w:pPr>
              <w:jc w:val="center"/>
              <w:rPr>
                <w:rFonts w:ascii="仿宋_GB2312" w:hAnsi="仿宋_GB2312" w:eastAsia="仿宋_GB2312" w:cs="仿宋_GB2312"/>
                <w:sz w:val="20"/>
              </w:rPr>
            </w:pPr>
            <w:r>
              <w:rPr>
                <w:rFonts w:hint="eastAsia" w:ascii="宋体" w:hAnsi="宋体" w:cs="宋体"/>
                <w:kern w:val="0"/>
                <w:sz w:val="20"/>
                <w:szCs w:val="20"/>
              </w:rPr>
              <w:t>经常性项目</w:t>
            </w:r>
          </w:p>
        </w:tc>
        <w:tc>
          <w:tcPr>
            <w:tcW w:w="1170" w:type="dxa"/>
            <w:tcBorders>
              <w:tl2br w:val="nil"/>
              <w:tr2bl w:val="nil"/>
            </w:tcBorders>
            <w:vAlign w:val="center"/>
          </w:tcPr>
          <w:p>
            <w:pPr>
              <w:widowControl/>
              <w:jc w:val="left"/>
              <w:textAlignment w:val="center"/>
              <w:rPr>
                <w:rFonts w:ascii="仿宋_GB2312" w:hAnsi="仿宋_GB2312" w:eastAsia="仿宋_GB2312" w:cs="仿宋_GB2312"/>
              </w:rPr>
            </w:pPr>
            <w:r>
              <w:rPr>
                <w:rFonts w:hint="eastAsia" w:ascii="宋体" w:hAnsi="宋体" w:eastAsia="宋体" w:cs="宋体"/>
                <w:color w:val="000000"/>
                <w:kern w:val="0"/>
                <w:sz w:val="20"/>
                <w:szCs w:val="20"/>
                <w:lang w:bidi="ar"/>
              </w:rPr>
              <w:t>项目期</w:t>
            </w:r>
          </w:p>
        </w:tc>
        <w:tc>
          <w:tcPr>
            <w:tcW w:w="2055" w:type="dxa"/>
            <w:tcBorders>
              <w:tl2br w:val="nil"/>
              <w:tr2bl w:val="nil"/>
            </w:tcBorders>
            <w:vAlign w:val="center"/>
          </w:tcPr>
          <w:p>
            <w:pPr>
              <w:widowControl/>
              <w:jc w:val="center"/>
              <w:textAlignment w:val="center"/>
              <w:rPr>
                <w:rFonts w:ascii="仿宋_GB2312" w:hAnsi="仿宋_GB2312" w:eastAsia="仿宋_GB2312" w:cs="仿宋_GB2312"/>
              </w:rPr>
            </w:pPr>
            <w:r>
              <w:rPr>
                <w:rStyle w:val="12"/>
                <w:rFonts w:eastAsia="宋体"/>
                <w:lang w:bidi="ar"/>
              </w:rPr>
              <w:t>202</w:t>
            </w:r>
            <w:r>
              <w:rPr>
                <w:rStyle w:val="12"/>
                <w:rFonts w:hint="eastAsia" w:eastAsia="宋体"/>
                <w:lang w:bidi="ar"/>
              </w:rPr>
              <w:t>4</w:t>
            </w:r>
            <w:r>
              <w:rPr>
                <w:rStyle w:val="13"/>
                <w:rFonts w:hint="default"/>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401" w:type="dxa"/>
            <w:gridSpan w:val="3"/>
            <w:vMerge w:val="restart"/>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项目资金（万元）</w:t>
            </w:r>
          </w:p>
        </w:tc>
        <w:tc>
          <w:tcPr>
            <w:tcW w:w="2394" w:type="dxa"/>
            <w:gridSpan w:val="2"/>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 xml:space="preserve"> 年度资金总额：</w:t>
            </w:r>
          </w:p>
        </w:tc>
        <w:tc>
          <w:tcPr>
            <w:tcW w:w="3225" w:type="dxa"/>
            <w:gridSpan w:val="2"/>
            <w:tcBorders>
              <w:tl2br w:val="nil"/>
              <w:tr2bl w:val="nil"/>
            </w:tcBorders>
            <w:vAlign w:val="center"/>
          </w:tcPr>
          <w:p>
            <w:pPr>
              <w:widowControl/>
              <w:jc w:val="righ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54.65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401" w:type="dxa"/>
            <w:gridSpan w:val="3"/>
            <w:vMerge w:val="continue"/>
            <w:tcBorders>
              <w:tl2br w:val="nil"/>
              <w:tr2bl w:val="nil"/>
            </w:tcBorders>
            <w:vAlign w:val="center"/>
          </w:tcPr>
          <w:p>
            <w:pPr>
              <w:jc w:val="center"/>
              <w:rPr>
                <w:rFonts w:ascii="仿宋_GB2312" w:hAnsi="仿宋_GB2312" w:eastAsia="仿宋_GB2312" w:cs="仿宋_GB2312"/>
                <w:sz w:val="20"/>
              </w:rPr>
            </w:pPr>
          </w:p>
        </w:tc>
        <w:tc>
          <w:tcPr>
            <w:tcW w:w="2394" w:type="dxa"/>
            <w:gridSpan w:val="2"/>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 xml:space="preserve">   其中：财政拨款</w:t>
            </w:r>
          </w:p>
        </w:tc>
        <w:tc>
          <w:tcPr>
            <w:tcW w:w="3225" w:type="dxa"/>
            <w:gridSpan w:val="2"/>
            <w:tcBorders>
              <w:tl2br w:val="nil"/>
              <w:tr2bl w:val="nil"/>
            </w:tcBorders>
            <w:vAlign w:val="center"/>
          </w:tcPr>
          <w:p>
            <w:pPr>
              <w:widowControl/>
              <w:jc w:val="righ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54.65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401" w:type="dxa"/>
            <w:gridSpan w:val="3"/>
            <w:vMerge w:val="continue"/>
            <w:tcBorders>
              <w:tl2br w:val="nil"/>
              <w:tr2bl w:val="nil"/>
            </w:tcBorders>
            <w:vAlign w:val="center"/>
          </w:tcPr>
          <w:p>
            <w:pPr>
              <w:jc w:val="center"/>
              <w:rPr>
                <w:rFonts w:ascii="仿宋_GB2312" w:hAnsi="仿宋_GB2312" w:eastAsia="仿宋_GB2312" w:cs="仿宋_GB2312"/>
                <w:sz w:val="20"/>
              </w:rPr>
            </w:pPr>
          </w:p>
        </w:tc>
        <w:tc>
          <w:tcPr>
            <w:tcW w:w="2394" w:type="dxa"/>
            <w:gridSpan w:val="2"/>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 xml:space="preserve">         上年结转</w:t>
            </w:r>
          </w:p>
        </w:tc>
        <w:tc>
          <w:tcPr>
            <w:tcW w:w="3225" w:type="dxa"/>
            <w:gridSpan w:val="2"/>
            <w:tcBorders>
              <w:tl2br w:val="nil"/>
              <w:tr2bl w:val="nil"/>
            </w:tcBorders>
            <w:vAlign w:val="center"/>
          </w:tcPr>
          <w:p>
            <w:pPr>
              <w:widowControl/>
              <w:jc w:val="righ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401" w:type="dxa"/>
            <w:gridSpan w:val="3"/>
            <w:vMerge w:val="continue"/>
            <w:tcBorders>
              <w:tl2br w:val="nil"/>
              <w:tr2bl w:val="nil"/>
            </w:tcBorders>
            <w:vAlign w:val="center"/>
          </w:tcPr>
          <w:p>
            <w:pPr>
              <w:jc w:val="center"/>
              <w:rPr>
                <w:rFonts w:ascii="仿宋_GB2312" w:hAnsi="仿宋_GB2312" w:eastAsia="仿宋_GB2312" w:cs="仿宋_GB2312"/>
                <w:sz w:val="20"/>
              </w:rPr>
            </w:pPr>
          </w:p>
        </w:tc>
        <w:tc>
          <w:tcPr>
            <w:tcW w:w="2394" w:type="dxa"/>
            <w:gridSpan w:val="2"/>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 xml:space="preserve">         其他资金</w:t>
            </w:r>
          </w:p>
        </w:tc>
        <w:tc>
          <w:tcPr>
            <w:tcW w:w="3225" w:type="dxa"/>
            <w:gridSpan w:val="2"/>
            <w:tcBorders>
              <w:tl2br w:val="nil"/>
              <w:tr2bl w:val="nil"/>
            </w:tcBorders>
            <w:vAlign w:val="center"/>
          </w:tcPr>
          <w:p>
            <w:pPr>
              <w:widowControl/>
              <w:jc w:val="righ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79" w:type="dxa"/>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年度目标</w:t>
            </w:r>
          </w:p>
        </w:tc>
        <w:tc>
          <w:tcPr>
            <w:tcW w:w="8041" w:type="dxa"/>
            <w:gridSpan w:val="6"/>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用于淮北仲裁委员会秘书处日常开支，办理仲裁案件的受理、立案、文书送达等。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79" w:type="dxa"/>
            <w:vMerge w:val="restart"/>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绩效指标</w:t>
            </w:r>
          </w:p>
        </w:tc>
        <w:tc>
          <w:tcPr>
            <w:tcW w:w="1442" w:type="dxa"/>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一级指标</w:t>
            </w: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二级指标</w:t>
            </w:r>
          </w:p>
        </w:tc>
        <w:tc>
          <w:tcPr>
            <w:tcW w:w="1606" w:type="dxa"/>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三级指标</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vMerge w:val="restart"/>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产出指标</w:t>
            </w: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数量指标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指标1：受理民商事仲裁案件</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受理民商事仲裁案件400件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vMerge w:val="continue"/>
            <w:tcBorders>
              <w:tl2br w:val="nil"/>
              <w:tr2bl w:val="nil"/>
            </w:tcBorders>
            <w:vAlign w:val="center"/>
          </w:tcPr>
          <w:p>
            <w:pPr>
              <w:jc w:val="center"/>
              <w:rPr>
                <w:rFonts w:ascii="仿宋_GB2312" w:hAnsi="仿宋_GB2312" w:eastAsia="仿宋_GB2312" w:cs="仿宋_GB2312"/>
                <w:sz w:val="20"/>
              </w:rPr>
            </w:pP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质量指标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指标1：各项费用及时支出</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各项费用及时支出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vMerge w:val="continue"/>
            <w:tcBorders>
              <w:tl2br w:val="nil"/>
              <w:tr2bl w:val="nil"/>
            </w:tcBorders>
            <w:vAlign w:val="center"/>
          </w:tcPr>
          <w:p>
            <w:pPr>
              <w:jc w:val="center"/>
              <w:rPr>
                <w:rFonts w:ascii="仿宋_GB2312" w:hAnsi="仿宋_GB2312" w:eastAsia="仿宋_GB2312" w:cs="仿宋_GB2312"/>
                <w:sz w:val="20"/>
              </w:rPr>
            </w:pP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时效指标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指标1：按照年度预算安排资金拨付</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按照年度预算安排，资金拨付到位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vMerge w:val="continue"/>
            <w:tcBorders>
              <w:tl2br w:val="nil"/>
              <w:tr2bl w:val="nil"/>
            </w:tcBorders>
            <w:vAlign w:val="center"/>
          </w:tcPr>
          <w:p>
            <w:pPr>
              <w:jc w:val="center"/>
              <w:rPr>
                <w:rFonts w:ascii="仿宋_GB2312" w:hAnsi="仿宋_GB2312" w:eastAsia="仿宋_GB2312" w:cs="仿宋_GB2312"/>
                <w:sz w:val="20"/>
              </w:rPr>
            </w:pP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成本指标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指标1：严格控制成本</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严格控制成本，不超年度预算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vMerge w:val="restart"/>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效益指标</w:t>
            </w: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经济效益指标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指标1：不产生经济价值</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不产生经济价值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vMerge w:val="continue"/>
            <w:tcBorders>
              <w:tl2br w:val="nil"/>
              <w:tr2bl w:val="nil"/>
            </w:tcBorders>
            <w:vAlign w:val="center"/>
          </w:tcPr>
          <w:p>
            <w:pPr>
              <w:jc w:val="center"/>
              <w:rPr>
                <w:rFonts w:ascii="仿宋_GB2312" w:hAnsi="仿宋_GB2312" w:eastAsia="仿宋_GB2312" w:cs="仿宋_GB2312"/>
                <w:sz w:val="20"/>
              </w:rPr>
            </w:pP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社会效益指标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指标1：处理经济纠纷、维护社会稳定</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树立尊法学法守法用法意识，营造良好法治氛围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vMerge w:val="continue"/>
            <w:tcBorders>
              <w:tl2br w:val="nil"/>
              <w:tr2bl w:val="nil"/>
            </w:tcBorders>
            <w:vAlign w:val="center"/>
          </w:tcPr>
          <w:p>
            <w:pPr>
              <w:jc w:val="center"/>
              <w:rPr>
                <w:rFonts w:ascii="仿宋_GB2312" w:hAnsi="仿宋_GB2312" w:eastAsia="仿宋_GB2312" w:cs="仿宋_GB2312"/>
                <w:sz w:val="20"/>
              </w:rPr>
            </w:pP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生态效益指标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指标1：不对周边生态环境带来影响</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不对周边生态环境带来影响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vMerge w:val="continue"/>
            <w:tcBorders>
              <w:tl2br w:val="nil"/>
              <w:tr2bl w:val="nil"/>
            </w:tcBorders>
            <w:vAlign w:val="center"/>
          </w:tcPr>
          <w:p>
            <w:pPr>
              <w:jc w:val="center"/>
              <w:rPr>
                <w:rFonts w:ascii="仿宋_GB2312" w:hAnsi="仿宋_GB2312" w:eastAsia="仿宋_GB2312" w:cs="仿宋_GB2312"/>
                <w:sz w:val="20"/>
              </w:rPr>
            </w:pP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可持续影响指标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指标1：仲裁经济纠纷，提升仲裁公信力</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仲裁经济纠纷，提升仲裁公信力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满意度指标</w:t>
            </w: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满意度指标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指标1：案件当事人及涉及的企业、群众满意</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案件当事人及涉及的企业、群众满意</w:t>
            </w:r>
          </w:p>
        </w:tc>
      </w:tr>
    </w:tbl>
    <w:p>
      <w:pPr>
        <w:ind w:firstLine="420" w:firstLineChars="200"/>
        <w:rPr>
          <w:rFonts w:ascii="仿宋_GB2312" w:hAnsi="仿宋_GB2312" w:eastAsia="仿宋_GB2312" w:cs="仿宋_GB2312"/>
        </w:rPr>
      </w:pPr>
    </w:p>
    <w:p>
      <w:pPr>
        <w:ind w:firstLine="420" w:firstLineChars="200"/>
        <w:rPr>
          <w:rFonts w:ascii="仿宋_GB2312" w:hAnsi="仿宋_GB2312" w:eastAsia="仿宋_GB2312" w:cs="仿宋_GB2312"/>
        </w:rPr>
      </w:pPr>
    </w:p>
    <w:p>
      <w:pPr>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9.“聘用人员劳务经费”项目。</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（1）项目概述。</w:t>
      </w:r>
      <w:r>
        <w:rPr>
          <w:rFonts w:hint="eastAsia" w:ascii="仿宋_GB2312" w:hAnsi="仿宋" w:eastAsia="仿宋_GB2312"/>
          <w:sz w:val="32"/>
          <w:szCs w:val="32"/>
        </w:rPr>
        <w:t>淮北仲裁委员会于1997年7月成立，由淮北市人民政府根据中华人民共和国仲裁法设立行使仲裁权的事业单位，根据淮北市有关文件精神，我委属于有收入的事业单位，负责仲裁案件的受理和立案。</w:t>
      </w:r>
      <w:r>
        <w:rPr>
          <w:rFonts w:hint="eastAsia" w:ascii="仿宋_GB2312" w:hAnsi="仿宋_GB2312" w:eastAsia="仿宋_GB2312" w:cs="仿宋_GB2312"/>
          <w:kern w:val="0"/>
          <w:sz w:val="32"/>
          <w:szCs w:val="32"/>
        </w:rPr>
        <w:t>用于淮北仲裁委员会秘书处聘用人员工资、社会保险、公积金的支付。</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（2）立项依据。《中华人民共和国仲裁法》；</w:t>
      </w:r>
      <w:r>
        <w:rPr>
          <w:rFonts w:hint="eastAsia" w:ascii="仿宋_GB2312" w:hAnsi="仿宋_GB2312" w:eastAsia="仿宋_GB2312" w:cs="仿宋_GB2312"/>
          <w:sz w:val="32"/>
          <w:szCs w:val="32"/>
        </w:rPr>
        <w:t>中共中央办公厅 国务院办公厅《关于完善仲裁制度提高仲裁公信力的若干意见》（中办发〔2018〕76号）；中共安徽省委全面依法治省委员会《关于完善仲裁制度提高仲裁公信力的实施意见》（皖法办发〔2019〕21号）。</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（3）实施主体。</w:t>
      </w:r>
      <w:r>
        <w:rPr>
          <w:rFonts w:hint="eastAsia" w:ascii="仿宋_GB2312" w:hAnsi="楷体" w:eastAsia="仿宋_GB2312"/>
          <w:sz w:val="32"/>
          <w:szCs w:val="32"/>
        </w:rPr>
        <w:t>淮北仲裁委员会秘书处。</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（4）起止时间。2024年1-12月。</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（5）项目内容。用于淮北仲裁委员会秘书处聘用人员工资、社会保险、公积金的支付。</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（6）年度预算安排。69.26万元。</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tbl>
      <w:tblPr>
        <w:tblStyle w:val="8"/>
        <w:tblW w:w="9945" w:type="dxa"/>
        <w:jc w:val="center"/>
        <w:tblLayout w:type="fixed"/>
        <w:tblCellMar>
          <w:top w:w="0" w:type="dxa"/>
          <w:left w:w="0" w:type="dxa"/>
          <w:bottom w:w="0" w:type="dxa"/>
          <w:right w:w="0" w:type="dxa"/>
        </w:tblCellMar>
      </w:tblPr>
      <w:tblGrid>
        <w:gridCol w:w="1080"/>
        <w:gridCol w:w="1590"/>
        <w:gridCol w:w="1080"/>
        <w:gridCol w:w="870"/>
        <w:gridCol w:w="1770"/>
        <w:gridCol w:w="1290"/>
        <w:gridCol w:w="2265"/>
      </w:tblGrid>
      <w:tr>
        <w:tblPrEx>
          <w:tblCellMar>
            <w:top w:w="0" w:type="dxa"/>
            <w:left w:w="0" w:type="dxa"/>
            <w:bottom w:w="0" w:type="dxa"/>
            <w:right w:w="0" w:type="dxa"/>
          </w:tblCellMar>
        </w:tblPrEx>
        <w:trPr>
          <w:trHeight w:val="400" w:hRule="atLeast"/>
          <w:jc w:val="center"/>
        </w:trPr>
        <w:tc>
          <w:tcPr>
            <w:tcW w:w="9945"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lang w:bidi="ar"/>
              </w:rPr>
              <w:t>项目支出绩效目标表</w:t>
            </w:r>
          </w:p>
        </w:tc>
      </w:tr>
      <w:tr>
        <w:tblPrEx>
          <w:tblCellMar>
            <w:top w:w="0" w:type="dxa"/>
            <w:left w:w="0" w:type="dxa"/>
            <w:bottom w:w="0" w:type="dxa"/>
            <w:right w:w="0" w:type="dxa"/>
          </w:tblCellMar>
        </w:tblPrEx>
        <w:trPr>
          <w:trHeight w:val="400" w:hRule="atLeast"/>
          <w:jc w:val="center"/>
        </w:trPr>
        <w:tc>
          <w:tcPr>
            <w:tcW w:w="9945"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（2024年度）                                </w:t>
            </w:r>
          </w:p>
        </w:tc>
      </w:tr>
      <w:tr>
        <w:tblPrEx>
          <w:tblCellMar>
            <w:top w:w="0" w:type="dxa"/>
            <w:left w:w="0" w:type="dxa"/>
            <w:bottom w:w="0" w:type="dxa"/>
            <w:right w:w="0" w:type="dxa"/>
          </w:tblCellMar>
        </w:tblPrEx>
        <w:trPr>
          <w:trHeight w:val="400" w:hRule="atLeast"/>
          <w:jc w:val="center"/>
        </w:trPr>
        <w:tc>
          <w:tcPr>
            <w:tcW w:w="3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619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聘用人员劳务经费</w:t>
            </w:r>
          </w:p>
        </w:tc>
      </w:tr>
      <w:tr>
        <w:tblPrEx>
          <w:tblCellMar>
            <w:top w:w="0" w:type="dxa"/>
            <w:left w:w="0" w:type="dxa"/>
            <w:bottom w:w="0" w:type="dxa"/>
            <w:right w:w="0" w:type="dxa"/>
          </w:tblCellMar>
        </w:tblPrEx>
        <w:trPr>
          <w:trHeight w:val="400" w:hRule="atLeast"/>
          <w:jc w:val="center"/>
        </w:trPr>
        <w:tc>
          <w:tcPr>
            <w:tcW w:w="3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主管部门及代码</w:t>
            </w: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淮北市司法局</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实施单位</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淮北仲裁委员会秘书处</w:t>
            </w:r>
          </w:p>
        </w:tc>
      </w:tr>
      <w:tr>
        <w:tblPrEx>
          <w:tblCellMar>
            <w:top w:w="0" w:type="dxa"/>
            <w:left w:w="0" w:type="dxa"/>
            <w:bottom w:w="0" w:type="dxa"/>
            <w:right w:w="0" w:type="dxa"/>
          </w:tblCellMar>
        </w:tblPrEx>
        <w:trPr>
          <w:trHeight w:val="400" w:hRule="atLeast"/>
          <w:jc w:val="center"/>
        </w:trPr>
        <w:tc>
          <w:tcPr>
            <w:tcW w:w="3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项目来源</w:t>
            </w: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cs="宋体"/>
                <w:kern w:val="0"/>
                <w:sz w:val="20"/>
                <w:szCs w:val="20"/>
              </w:rPr>
              <w:t>经常性项目</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项目期</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202</w:t>
            </w:r>
            <w:r>
              <w:rPr>
                <w:rFonts w:hint="eastAsia" w:ascii="Calibri" w:hAnsi="Calibri" w:eastAsia="宋体" w:cs="Calibri"/>
                <w:color w:val="000000"/>
                <w:kern w:val="0"/>
                <w:szCs w:val="21"/>
                <w:lang w:bidi="ar"/>
              </w:rPr>
              <w:t>4</w:t>
            </w:r>
            <w:r>
              <w:rPr>
                <w:rFonts w:hint="eastAsia" w:ascii="宋体" w:hAnsi="宋体" w:eastAsia="宋体" w:cs="宋体"/>
                <w:color w:val="000000"/>
                <w:kern w:val="0"/>
                <w:szCs w:val="21"/>
                <w:lang w:bidi="ar"/>
              </w:rPr>
              <w:t>年</w:t>
            </w:r>
          </w:p>
        </w:tc>
      </w:tr>
      <w:tr>
        <w:tblPrEx>
          <w:tblCellMar>
            <w:top w:w="0" w:type="dxa"/>
            <w:left w:w="0" w:type="dxa"/>
            <w:bottom w:w="0" w:type="dxa"/>
            <w:right w:w="0" w:type="dxa"/>
          </w:tblCellMar>
        </w:tblPrEx>
        <w:trPr>
          <w:trHeight w:val="400" w:hRule="atLeast"/>
          <w:jc w:val="center"/>
        </w:trPr>
        <w:tc>
          <w:tcPr>
            <w:tcW w:w="3750"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项目资金（万元）</w:t>
            </w: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年度资金总额：</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69.26</w:t>
            </w:r>
          </w:p>
        </w:tc>
      </w:tr>
      <w:tr>
        <w:tblPrEx>
          <w:tblCellMar>
            <w:top w:w="0" w:type="dxa"/>
            <w:left w:w="0" w:type="dxa"/>
            <w:bottom w:w="0" w:type="dxa"/>
            <w:right w:w="0" w:type="dxa"/>
          </w:tblCellMar>
        </w:tblPrEx>
        <w:trPr>
          <w:trHeight w:val="400" w:hRule="atLeast"/>
          <w:jc w:val="center"/>
        </w:trPr>
        <w:tc>
          <w:tcPr>
            <w:tcW w:w="375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其中：财政拨款</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69.26</w:t>
            </w:r>
          </w:p>
        </w:tc>
      </w:tr>
      <w:tr>
        <w:tblPrEx>
          <w:tblCellMar>
            <w:top w:w="0" w:type="dxa"/>
            <w:left w:w="0" w:type="dxa"/>
            <w:bottom w:w="0" w:type="dxa"/>
            <w:right w:w="0" w:type="dxa"/>
          </w:tblCellMar>
        </w:tblPrEx>
        <w:trPr>
          <w:trHeight w:val="400" w:hRule="atLeast"/>
          <w:jc w:val="center"/>
        </w:trPr>
        <w:tc>
          <w:tcPr>
            <w:tcW w:w="375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上年结转</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400" w:hRule="atLeast"/>
          <w:jc w:val="center"/>
        </w:trPr>
        <w:tc>
          <w:tcPr>
            <w:tcW w:w="375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其他资金</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52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年度目标</w:t>
            </w:r>
          </w:p>
        </w:tc>
        <w:tc>
          <w:tcPr>
            <w:tcW w:w="886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完成聘用人员劳务费发放、法律顾问参与涉法事项劳务费发放，提供全方位的法律服务，发挥智囊作用。</w:t>
            </w:r>
          </w:p>
        </w:tc>
      </w:tr>
      <w:tr>
        <w:tblPrEx>
          <w:tblCellMar>
            <w:top w:w="0" w:type="dxa"/>
            <w:left w:w="0" w:type="dxa"/>
            <w:bottom w:w="0" w:type="dxa"/>
            <w:right w:w="0" w:type="dxa"/>
          </w:tblCellMar>
        </w:tblPrEx>
        <w:trPr>
          <w:trHeight w:val="600" w:hRule="atLeast"/>
          <w:jc w:val="center"/>
        </w:trPr>
        <w:tc>
          <w:tcPr>
            <w:tcW w:w="108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绩效指标</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一级指标</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二级指标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三级指标</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指标值</w:t>
            </w:r>
          </w:p>
        </w:tc>
      </w:tr>
      <w:tr>
        <w:tblPrEx>
          <w:tblCellMar>
            <w:top w:w="0" w:type="dxa"/>
            <w:left w:w="0" w:type="dxa"/>
            <w:bottom w:w="0" w:type="dxa"/>
            <w:right w:w="0" w:type="dxa"/>
          </w:tblCellMar>
        </w:tblPrEx>
        <w:trPr>
          <w:trHeight w:val="82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产出指标</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指标1：完成聘用人员的工资及社会保障缴纳</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完成聘用人员的工资及社会保障缴纳</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质量指标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指标1：各项费用及时支出</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各项费用及时支出</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时效指标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指标1：按照年度预算安排资金拨付</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按照年度预算安排，资金拨付到位</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成本指标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指标1：严格控制成本</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严格控制成本，不超年度预算</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效益指标</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经济效益指标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指标1：不产生经济价值</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不产生经济价值</w:t>
            </w:r>
          </w:p>
        </w:tc>
      </w:tr>
      <w:tr>
        <w:tblPrEx>
          <w:tblCellMar>
            <w:top w:w="0" w:type="dxa"/>
            <w:left w:w="0" w:type="dxa"/>
            <w:bottom w:w="0" w:type="dxa"/>
            <w:right w:w="0" w:type="dxa"/>
          </w:tblCellMar>
        </w:tblPrEx>
        <w:trPr>
          <w:trHeight w:val="84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社会效益指标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指标1：处理经济纠纷、维护社会稳定</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受理案件400件</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生态效益指标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指标1：不对周边生态环境带来影响</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不对周边生态环境带来影响</w:t>
            </w:r>
          </w:p>
        </w:tc>
      </w:tr>
      <w:tr>
        <w:tblPrEx>
          <w:tblCellMar>
            <w:top w:w="0" w:type="dxa"/>
            <w:left w:w="0" w:type="dxa"/>
            <w:bottom w:w="0" w:type="dxa"/>
            <w:right w:w="0" w:type="dxa"/>
          </w:tblCellMar>
        </w:tblPrEx>
        <w:trPr>
          <w:trHeight w:val="72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可持续影响指标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指标1：仲裁经济纠纷，提升仲裁公信力</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仲裁经济纠纷，提升仲裁公信力</w:t>
            </w:r>
          </w:p>
        </w:tc>
      </w:tr>
      <w:tr>
        <w:tblPrEx>
          <w:tblCellMar>
            <w:top w:w="0" w:type="dxa"/>
            <w:left w:w="0" w:type="dxa"/>
            <w:bottom w:w="0" w:type="dxa"/>
            <w:right w:w="0" w:type="dxa"/>
          </w:tblCellMar>
        </w:tblPrEx>
        <w:trPr>
          <w:trHeight w:val="84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指标1：不涉及满意度</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不涉及满意度</w:t>
            </w:r>
          </w:p>
        </w:tc>
      </w:tr>
    </w:tbl>
    <w:p>
      <w:pPr>
        <w:pStyle w:val="2"/>
        <w:ind w:firstLine="420"/>
      </w:pPr>
    </w:p>
    <w:p>
      <w:pPr>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10.“仲裁员费”项目。</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（1）项目概述。</w:t>
      </w:r>
      <w:r>
        <w:rPr>
          <w:rFonts w:hint="eastAsia" w:ascii="仿宋_GB2312" w:hAnsi="仿宋" w:eastAsia="仿宋_GB2312"/>
          <w:sz w:val="32"/>
          <w:szCs w:val="32"/>
        </w:rPr>
        <w:t>淮北仲裁委员会于1997年7月成立，由淮北市人民政府根据中华人民共和国仲裁法设立行使仲裁权的事业单位，根据淮北市有关文件精神，我委属于有收入的事业单位，负责仲裁案件的受理和立案。</w:t>
      </w:r>
      <w:r>
        <w:rPr>
          <w:rFonts w:hint="eastAsia" w:ascii="仿宋_GB2312" w:hAnsi="仿宋_GB2312" w:eastAsia="仿宋_GB2312" w:cs="仿宋_GB2312"/>
          <w:kern w:val="0"/>
          <w:sz w:val="32"/>
          <w:szCs w:val="32"/>
        </w:rPr>
        <w:t>用于仲裁员办理仲裁案件办案报酬的支付。</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（2）立项依据。《中华人民共和国仲裁法》；</w:t>
      </w:r>
      <w:r>
        <w:rPr>
          <w:rFonts w:hint="eastAsia" w:ascii="仿宋_GB2312" w:hAnsi="仿宋_GB2312" w:eastAsia="仿宋_GB2312" w:cs="仿宋_GB2312"/>
          <w:sz w:val="32"/>
          <w:szCs w:val="32"/>
        </w:rPr>
        <w:t>中共中央办公厅 国务院办公厅《关于完善仲裁制度提高仲裁公信力的若干意见》（中办发〔2018〕76号）；中共安徽省委全面依法治省委员会《关于完善仲裁制度提高仲裁公信力的实施意见》（皖法办发〔2019〕21号）。</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（3）实施主体。</w:t>
      </w:r>
      <w:r>
        <w:rPr>
          <w:rFonts w:hint="eastAsia" w:ascii="仿宋_GB2312" w:hAnsi="楷体" w:eastAsia="仿宋_GB2312"/>
          <w:sz w:val="32"/>
          <w:szCs w:val="32"/>
        </w:rPr>
        <w:t>淮北仲裁委员会秘书处。</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（4）起止时间。2024年1-12月。</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（5）项目内容。用于仲裁员办理仲裁案件办案报酬的支付。</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（6）年度预算安排。134.7万元。</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tbl>
      <w:tblPr>
        <w:tblStyle w:val="8"/>
        <w:tblW w:w="9945" w:type="dxa"/>
        <w:jc w:val="center"/>
        <w:tblLayout w:type="fixed"/>
        <w:tblCellMar>
          <w:top w:w="0" w:type="dxa"/>
          <w:left w:w="0" w:type="dxa"/>
          <w:bottom w:w="0" w:type="dxa"/>
          <w:right w:w="0" w:type="dxa"/>
        </w:tblCellMar>
      </w:tblPr>
      <w:tblGrid>
        <w:gridCol w:w="1080"/>
        <w:gridCol w:w="1590"/>
        <w:gridCol w:w="1080"/>
        <w:gridCol w:w="870"/>
        <w:gridCol w:w="1770"/>
        <w:gridCol w:w="1290"/>
        <w:gridCol w:w="2265"/>
      </w:tblGrid>
      <w:tr>
        <w:tblPrEx>
          <w:tblCellMar>
            <w:top w:w="0" w:type="dxa"/>
            <w:left w:w="0" w:type="dxa"/>
            <w:bottom w:w="0" w:type="dxa"/>
            <w:right w:w="0" w:type="dxa"/>
          </w:tblCellMar>
        </w:tblPrEx>
        <w:trPr>
          <w:trHeight w:val="400" w:hRule="atLeast"/>
          <w:jc w:val="center"/>
        </w:trPr>
        <w:tc>
          <w:tcPr>
            <w:tcW w:w="9945"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lang w:bidi="ar"/>
              </w:rPr>
              <w:t>项目支出绩效目标表</w:t>
            </w:r>
          </w:p>
        </w:tc>
      </w:tr>
      <w:tr>
        <w:tblPrEx>
          <w:tblCellMar>
            <w:top w:w="0" w:type="dxa"/>
            <w:left w:w="0" w:type="dxa"/>
            <w:bottom w:w="0" w:type="dxa"/>
            <w:right w:w="0" w:type="dxa"/>
          </w:tblCellMar>
        </w:tblPrEx>
        <w:trPr>
          <w:trHeight w:val="400" w:hRule="atLeast"/>
          <w:jc w:val="center"/>
        </w:trPr>
        <w:tc>
          <w:tcPr>
            <w:tcW w:w="9945"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（2024年度）                                </w:t>
            </w:r>
          </w:p>
        </w:tc>
      </w:tr>
      <w:tr>
        <w:tblPrEx>
          <w:tblCellMar>
            <w:top w:w="0" w:type="dxa"/>
            <w:left w:w="0" w:type="dxa"/>
            <w:bottom w:w="0" w:type="dxa"/>
            <w:right w:w="0" w:type="dxa"/>
          </w:tblCellMar>
        </w:tblPrEx>
        <w:trPr>
          <w:trHeight w:val="400" w:hRule="atLeast"/>
          <w:jc w:val="center"/>
        </w:trPr>
        <w:tc>
          <w:tcPr>
            <w:tcW w:w="3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619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仲裁员费</w:t>
            </w:r>
          </w:p>
        </w:tc>
      </w:tr>
      <w:tr>
        <w:tblPrEx>
          <w:tblCellMar>
            <w:top w:w="0" w:type="dxa"/>
            <w:left w:w="0" w:type="dxa"/>
            <w:bottom w:w="0" w:type="dxa"/>
            <w:right w:w="0" w:type="dxa"/>
          </w:tblCellMar>
        </w:tblPrEx>
        <w:trPr>
          <w:trHeight w:val="400" w:hRule="atLeast"/>
          <w:jc w:val="center"/>
        </w:trPr>
        <w:tc>
          <w:tcPr>
            <w:tcW w:w="3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主管部门及代码</w:t>
            </w: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淮北市司法局</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实施单位</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淮北仲裁委员会秘书处</w:t>
            </w:r>
          </w:p>
        </w:tc>
      </w:tr>
      <w:tr>
        <w:tblPrEx>
          <w:tblCellMar>
            <w:top w:w="0" w:type="dxa"/>
            <w:left w:w="0" w:type="dxa"/>
            <w:bottom w:w="0" w:type="dxa"/>
            <w:right w:w="0" w:type="dxa"/>
          </w:tblCellMar>
        </w:tblPrEx>
        <w:trPr>
          <w:trHeight w:val="400" w:hRule="atLeast"/>
          <w:jc w:val="center"/>
        </w:trPr>
        <w:tc>
          <w:tcPr>
            <w:tcW w:w="3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项目来源</w:t>
            </w: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cs="宋体"/>
                <w:kern w:val="0"/>
                <w:sz w:val="20"/>
                <w:szCs w:val="20"/>
              </w:rPr>
              <w:t>经常性项目</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项目期</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202</w:t>
            </w:r>
            <w:r>
              <w:rPr>
                <w:rFonts w:hint="eastAsia" w:ascii="Calibri" w:hAnsi="Calibri" w:eastAsia="宋体" w:cs="Calibri"/>
                <w:color w:val="000000"/>
                <w:kern w:val="0"/>
                <w:szCs w:val="21"/>
                <w:lang w:bidi="ar"/>
              </w:rPr>
              <w:t>4</w:t>
            </w:r>
            <w:r>
              <w:rPr>
                <w:rFonts w:hint="eastAsia" w:ascii="宋体" w:hAnsi="宋体" w:eastAsia="宋体" w:cs="宋体"/>
                <w:color w:val="000000"/>
                <w:kern w:val="0"/>
                <w:szCs w:val="21"/>
                <w:lang w:bidi="ar"/>
              </w:rPr>
              <w:t>年</w:t>
            </w:r>
          </w:p>
        </w:tc>
      </w:tr>
      <w:tr>
        <w:tblPrEx>
          <w:tblCellMar>
            <w:top w:w="0" w:type="dxa"/>
            <w:left w:w="0" w:type="dxa"/>
            <w:bottom w:w="0" w:type="dxa"/>
            <w:right w:w="0" w:type="dxa"/>
          </w:tblCellMar>
        </w:tblPrEx>
        <w:trPr>
          <w:trHeight w:val="400" w:hRule="atLeast"/>
          <w:jc w:val="center"/>
        </w:trPr>
        <w:tc>
          <w:tcPr>
            <w:tcW w:w="3750"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项目资金（万元）</w:t>
            </w: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年度资金总额：</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134.7</w:t>
            </w:r>
          </w:p>
        </w:tc>
      </w:tr>
      <w:tr>
        <w:tblPrEx>
          <w:tblCellMar>
            <w:top w:w="0" w:type="dxa"/>
            <w:left w:w="0" w:type="dxa"/>
            <w:bottom w:w="0" w:type="dxa"/>
            <w:right w:w="0" w:type="dxa"/>
          </w:tblCellMar>
        </w:tblPrEx>
        <w:trPr>
          <w:trHeight w:val="400" w:hRule="atLeast"/>
          <w:jc w:val="center"/>
        </w:trPr>
        <w:tc>
          <w:tcPr>
            <w:tcW w:w="375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其中：财政拨款</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134.7</w:t>
            </w:r>
          </w:p>
        </w:tc>
      </w:tr>
      <w:tr>
        <w:tblPrEx>
          <w:tblCellMar>
            <w:top w:w="0" w:type="dxa"/>
            <w:left w:w="0" w:type="dxa"/>
            <w:bottom w:w="0" w:type="dxa"/>
            <w:right w:w="0" w:type="dxa"/>
          </w:tblCellMar>
        </w:tblPrEx>
        <w:trPr>
          <w:trHeight w:val="400" w:hRule="atLeast"/>
          <w:jc w:val="center"/>
        </w:trPr>
        <w:tc>
          <w:tcPr>
            <w:tcW w:w="375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上年结转</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400" w:hRule="atLeast"/>
          <w:jc w:val="center"/>
        </w:trPr>
        <w:tc>
          <w:tcPr>
            <w:tcW w:w="375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其他资金</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年度目标</w:t>
            </w:r>
          </w:p>
        </w:tc>
        <w:tc>
          <w:tcPr>
            <w:tcW w:w="886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完成聘用人员劳务费发放、法律顾问参与涉法事项劳务费发放，提供全方位的法律服务，发挥智囊作用。</w:t>
            </w:r>
          </w:p>
        </w:tc>
      </w:tr>
      <w:tr>
        <w:tblPrEx>
          <w:tblCellMar>
            <w:top w:w="0" w:type="dxa"/>
            <w:left w:w="0" w:type="dxa"/>
            <w:bottom w:w="0" w:type="dxa"/>
            <w:right w:w="0" w:type="dxa"/>
          </w:tblCellMar>
        </w:tblPrEx>
        <w:trPr>
          <w:trHeight w:val="600" w:hRule="atLeast"/>
          <w:jc w:val="center"/>
        </w:trPr>
        <w:tc>
          <w:tcPr>
            <w:tcW w:w="108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绩效指标</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一级指标</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二级指标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三级指标</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指标值</w:t>
            </w:r>
          </w:p>
        </w:tc>
      </w:tr>
      <w:tr>
        <w:tblPrEx>
          <w:tblCellMar>
            <w:top w:w="0" w:type="dxa"/>
            <w:left w:w="0" w:type="dxa"/>
            <w:bottom w:w="0" w:type="dxa"/>
            <w:right w:w="0" w:type="dxa"/>
          </w:tblCellMar>
        </w:tblPrEx>
        <w:trPr>
          <w:trHeight w:val="84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产出指标</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指标1：完成聘用人员的工资及社会保障缴纳</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完成聘用人员的工资及社会保障缴纳</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质量指标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指标1：各项费用及时支出</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各项费用及时支出</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时效指标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指标1：按照年度预算安排资金拨付</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按照年度预算安排，资金拨付到位</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成本指标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指标1：严格控制成本</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严格控制成本，不超年度预算</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效益指标</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经济效益指标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指标1：不产生经济价值</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不产生经济价值</w:t>
            </w:r>
          </w:p>
        </w:tc>
      </w:tr>
      <w:tr>
        <w:tblPrEx>
          <w:tblCellMar>
            <w:top w:w="0" w:type="dxa"/>
            <w:left w:w="0" w:type="dxa"/>
            <w:bottom w:w="0" w:type="dxa"/>
            <w:right w:w="0" w:type="dxa"/>
          </w:tblCellMar>
        </w:tblPrEx>
        <w:trPr>
          <w:trHeight w:val="72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社会效益指标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指标1：处理经济纠纷、维护社会稳定</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受理案件400件</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生态效益指标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指标1：不对周边生态环境带来影响</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不对周边生态环境带来影响</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可持续影响指标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指标1：仲裁经济纠纷，提升仲裁公信力</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仲裁经济纠纷，提升仲裁公信力</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指标1：不涉及满意度</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不涉及满意度</w:t>
            </w:r>
          </w:p>
        </w:tc>
      </w:tr>
    </w:tbl>
    <w:p>
      <w:pPr>
        <w:adjustRightInd w:val="0"/>
        <w:snapToGrid w:val="0"/>
        <w:spacing w:line="580" w:lineRule="exact"/>
        <w:ind w:firstLine="642" w:firstLineChars="200"/>
        <w:rPr>
          <w:rFonts w:ascii="仿宋" w:hAnsi="仿宋" w:eastAsia="仿宋_GB2312" w:cs="TimesNewRoman"/>
          <w:b/>
          <w:sz w:val="32"/>
          <w:szCs w:val="32"/>
        </w:rPr>
      </w:pPr>
    </w:p>
    <w:p>
      <w:pPr>
        <w:adjustRightInd w:val="0"/>
        <w:snapToGrid w:val="0"/>
        <w:spacing w:line="58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（二）机关运行经费。</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淮北市司法局2024年机关运行经费财政拨款预算132.14万元，比2023年预算增加0.79万元，增长0.60%，原因主要是机关运行经费略有增加。</w:t>
      </w:r>
    </w:p>
    <w:p>
      <w:pPr>
        <w:adjustRightInd w:val="0"/>
        <w:snapToGrid w:val="0"/>
        <w:spacing w:line="58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（三）政府采购情况。</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淮北市司法局2024年政府采购预算25.02万元。其中：政府采购货物预算6.02万元，政府采购工程预算0万元，政府采购服务预算19万元。</w:t>
      </w:r>
    </w:p>
    <w:p>
      <w:pPr>
        <w:adjustRightInd w:val="0"/>
        <w:snapToGrid w:val="0"/>
        <w:spacing w:line="58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（四）国有资产占有使用情况。</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截至2023年12月31日，淮北市司法局（部门）共有车辆4辆，其中：执法执勤用车4辆。单价50万元以上的通用设备0台（套），单价100万元以上的专用设备0台（套）。</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2024年部门（单位）预算安排购置公务用车0辆，购置费0万元；安排购置单价50万元以上的通用设备0台（套），购置费0万元；安排购置单价100万元以上专用设备0台（套），购置费0万元。</w:t>
      </w:r>
    </w:p>
    <w:p>
      <w:pPr>
        <w:adjustRightInd w:val="0"/>
        <w:snapToGrid w:val="0"/>
        <w:spacing w:line="58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（五）绩效目标设置情况。</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2024年，淮北市司法局10个项目实行了绩效目标管理，涉及一般公共预算当年财政拨款403.44万元、政府性基金预算当年财政拨款0万元、财政专户管理资金当年安排0万元。</w:t>
      </w:r>
    </w:p>
    <w:p>
      <w:pPr>
        <w:pStyle w:val="6"/>
        <w:adjustRightInd w:val="0"/>
        <w:snapToGrid w:val="0"/>
        <w:spacing w:line="560" w:lineRule="exact"/>
        <w:jc w:val="center"/>
        <w:rPr>
          <w:rFonts w:ascii="仿宋" w:hAnsi="仿宋" w:eastAsia="黑体" w:cs="TimesNewRoman"/>
          <w:bCs/>
          <w:sz w:val="36"/>
          <w:szCs w:val="36"/>
        </w:rPr>
      </w:pPr>
    </w:p>
    <w:p>
      <w:pPr>
        <w:pStyle w:val="6"/>
        <w:adjustRightInd w:val="0"/>
        <w:snapToGrid w:val="0"/>
        <w:spacing w:line="560" w:lineRule="exact"/>
        <w:jc w:val="center"/>
        <w:rPr>
          <w:rFonts w:ascii="仿宋" w:hAnsi="仿宋" w:eastAsia="黑体" w:cs="TimesNewRoman"/>
          <w:bCs/>
          <w:sz w:val="36"/>
          <w:szCs w:val="36"/>
        </w:rPr>
      </w:pPr>
      <w:r>
        <w:rPr>
          <w:rFonts w:hint="eastAsia" w:ascii="仿宋" w:hAnsi="仿宋" w:eastAsia="黑体" w:cs="TimesNewRoman"/>
          <w:bCs/>
          <w:sz w:val="36"/>
          <w:szCs w:val="36"/>
        </w:rPr>
        <w:t>第四部分 名词解释</w:t>
      </w:r>
    </w:p>
    <w:p>
      <w:pPr>
        <w:rPr>
          <w:rFonts w:ascii="仿宋" w:hAnsi="仿宋"/>
        </w:rPr>
      </w:pP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一、财政拨款收入：</w:t>
      </w:r>
      <w:r>
        <w:rPr>
          <w:rFonts w:hint="eastAsia" w:ascii="仿宋" w:hAnsi="仿宋" w:eastAsia="仿宋_GB2312" w:cs="TimesNewRoman"/>
          <w:sz w:val="32"/>
          <w:szCs w:val="32"/>
        </w:rPr>
        <w:t>指部门或单位从同级财政部门取得的财政预算资金。</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二、事业收入：</w:t>
      </w:r>
      <w:r>
        <w:rPr>
          <w:rFonts w:hint="eastAsia" w:ascii="仿宋" w:hAnsi="仿宋" w:eastAsia="仿宋_GB2312" w:cs="TimesNewRoman"/>
          <w:sz w:val="32"/>
          <w:szCs w:val="32"/>
        </w:rPr>
        <w:t>指事业单位开展专业业务活动及辅助活动所取得的收入。</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三、财政专户管理资金：</w:t>
      </w:r>
      <w:r>
        <w:rPr>
          <w:rFonts w:hint="eastAsia" w:ascii="仿宋" w:hAnsi="仿宋" w:eastAsia="仿宋_GB2312" w:cs="TimesNewRoman"/>
          <w:sz w:val="32"/>
          <w:szCs w:val="32"/>
        </w:rPr>
        <w:t>指按照非税收入管理相关规定，纳入财政专户管理的教育收费等。</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四、事业单位经营收入：</w:t>
      </w:r>
      <w:r>
        <w:rPr>
          <w:rFonts w:hint="eastAsia" w:ascii="仿宋" w:hAnsi="仿宋" w:eastAsia="仿宋_GB2312" w:cs="TimesNewRoman"/>
          <w:sz w:val="32"/>
          <w:szCs w:val="32"/>
        </w:rPr>
        <w:t>指事业单位在专业业务活动及其辅助活动之外开展非独立核算经营活动取得的收入。</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五、附属单位上缴收入：</w:t>
      </w:r>
      <w:r>
        <w:rPr>
          <w:rFonts w:hint="eastAsia" w:ascii="仿宋" w:hAnsi="仿宋" w:eastAsia="仿宋_GB2312" w:cs="TimesNewRoman"/>
          <w:sz w:val="32"/>
          <w:szCs w:val="32"/>
        </w:rPr>
        <w:t>本单位所属下级单位上缴给本单位的全部收入。</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六、上年结转：</w:t>
      </w:r>
      <w:r>
        <w:rPr>
          <w:rFonts w:hint="eastAsia" w:ascii="仿宋" w:hAnsi="仿宋" w:eastAsia="仿宋_GB2312" w:cs="TimesNewRoman"/>
          <w:sz w:val="32"/>
          <w:szCs w:val="32"/>
        </w:rPr>
        <w:t>指以前年度安排、结转到本年仍按原用途继续使用的资金。</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七、结转下年：</w:t>
      </w:r>
      <w:r>
        <w:rPr>
          <w:rFonts w:hint="eastAsia" w:ascii="仿宋" w:hAnsi="仿宋" w:eastAsia="仿宋_GB2312" w:cs="TimesNewRoman"/>
          <w:sz w:val="32"/>
          <w:szCs w:val="32"/>
        </w:rPr>
        <w:t>指以前年度预算安排、因客观条件发生变化无法按原计划实施，需以后年度按原用途继续使用的资金。</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八、基本支出：</w:t>
      </w:r>
      <w:r>
        <w:rPr>
          <w:rFonts w:hint="eastAsia" w:ascii="仿宋" w:hAnsi="仿宋" w:eastAsia="仿宋_GB2312" w:cs="TimesNewRoman"/>
          <w:sz w:val="32"/>
          <w:szCs w:val="32"/>
        </w:rPr>
        <w:t>指为保障机构正常运转、完成日常工作任务而发生的人员支出和公用支出。</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九、项目支出：</w:t>
      </w:r>
      <w:r>
        <w:rPr>
          <w:rFonts w:hint="eastAsia" w:ascii="仿宋" w:hAnsi="仿宋" w:eastAsia="仿宋_GB2312" w:cs="TimesNewRoman"/>
          <w:sz w:val="32"/>
          <w:szCs w:val="32"/>
        </w:rPr>
        <w:t>指在除基本支出之外的支出，主要用于完成特定的工作任务和事业发展目标。</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 xml:space="preserve">十、机关运行经费: </w:t>
      </w:r>
      <w:r>
        <w:rPr>
          <w:rFonts w:hint="eastAsia" w:ascii="仿宋" w:hAnsi="仿宋"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TimesNewRoman">
    <w:altName w:val="DejaVu Sans"/>
    <w:panose1 w:val="00000000000000000000"/>
    <w:charset w:val="00"/>
    <w:family w:val="auto"/>
    <w:pitch w:val="default"/>
    <w:sig w:usb0="00000000" w:usb1="00000000" w:usb2="00000029" w:usb3="00000000" w:csb0="600001FF" w:csb1="FFFF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E33EB8"/>
    <w:multiLevelType w:val="singleLevel"/>
    <w:tmpl w:val="2FE33EB8"/>
    <w:lvl w:ilvl="0" w:tentative="0">
      <w:start w:val="3"/>
      <w:numFmt w:val="decimal"/>
      <w:suff w:val="nothing"/>
      <w:lvlText w:val="（%1）"/>
      <w:lvlJc w:val="left"/>
    </w:lvl>
  </w:abstractNum>
  <w:abstractNum w:abstractNumId="1">
    <w:nsid w:val="3536DEB6"/>
    <w:multiLevelType w:val="singleLevel"/>
    <w:tmpl w:val="3536DEB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MDQzMzQ1Y2ZhNzJlNGEzMWRkZGUxYzdmNjhmY2YifQ=="/>
  </w:docVars>
  <w:rsids>
    <w:rsidRoot w:val="00E907C4"/>
    <w:rsid w:val="000E28EE"/>
    <w:rsid w:val="00267E33"/>
    <w:rsid w:val="004A4DC6"/>
    <w:rsid w:val="0057562B"/>
    <w:rsid w:val="005F13D0"/>
    <w:rsid w:val="006546AF"/>
    <w:rsid w:val="00726D96"/>
    <w:rsid w:val="008F6D1A"/>
    <w:rsid w:val="009769A1"/>
    <w:rsid w:val="009A3CA3"/>
    <w:rsid w:val="00AE3242"/>
    <w:rsid w:val="00BD640A"/>
    <w:rsid w:val="00DB2A5C"/>
    <w:rsid w:val="00E907C4"/>
    <w:rsid w:val="00EC7755"/>
    <w:rsid w:val="00F974AD"/>
    <w:rsid w:val="02A86FB1"/>
    <w:rsid w:val="0F1E29AB"/>
    <w:rsid w:val="16EF2001"/>
    <w:rsid w:val="21436795"/>
    <w:rsid w:val="21C72EEA"/>
    <w:rsid w:val="259C54CD"/>
    <w:rsid w:val="349D64D6"/>
    <w:rsid w:val="37FC05B6"/>
    <w:rsid w:val="48205161"/>
    <w:rsid w:val="505333BA"/>
    <w:rsid w:val="5117415B"/>
    <w:rsid w:val="537D5CC3"/>
    <w:rsid w:val="54A96602"/>
    <w:rsid w:val="5A702DB4"/>
    <w:rsid w:val="69AC7BD4"/>
    <w:rsid w:val="737845A0"/>
    <w:rsid w:val="73C37AF4"/>
    <w:rsid w:val="79701546"/>
    <w:rsid w:val="A5DFA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Indent"/>
    <w:basedOn w:val="1"/>
    <w:qFormat/>
    <w:uiPriority w:val="0"/>
    <w:pPr>
      <w:ind w:firstLine="63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qFormat/>
    <w:uiPriority w:val="0"/>
    <w:pPr>
      <w:spacing w:after="120"/>
      <w:ind w:left="200" w:leftChars="200" w:firstLine="420" w:firstLineChars="200"/>
    </w:pPr>
    <w:rPr>
      <w:rFonts w:ascii="Times New Roman"/>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font11"/>
    <w:basedOn w:val="9"/>
    <w:qFormat/>
    <w:uiPriority w:val="0"/>
    <w:rPr>
      <w:rFonts w:hint="default" w:ascii="Calibri" w:hAnsi="Calibri" w:cs="Calibri"/>
      <w:color w:val="000000"/>
      <w:sz w:val="21"/>
      <w:szCs w:val="21"/>
      <w:u w:val="none"/>
    </w:rPr>
  </w:style>
  <w:style w:type="character" w:customStyle="1" w:styleId="13">
    <w:name w:val="font2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14704</Words>
  <Characters>15662</Characters>
  <Lines>194</Lines>
  <Paragraphs>54</Paragraphs>
  <TotalTime>3</TotalTime>
  <ScaleCrop>false</ScaleCrop>
  <LinksUpToDate>false</LinksUpToDate>
  <CharactersWithSpaces>15930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lenovo</dc:creator>
  <cp:lastModifiedBy>user</cp:lastModifiedBy>
  <dcterms:modified xsi:type="dcterms:W3CDTF">2025-01-13T10:14:17Z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6530F2D7A70F4D75850DF3397D06C713_13</vt:lpwstr>
  </property>
</Properties>
</file>