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E6B6">
      <w:pPr>
        <w:pStyle w:val="3"/>
        <w:spacing w:before="13"/>
        <w:rPr>
          <w:rFonts w:ascii="PMingLiU"/>
          <w:sz w:val="33"/>
        </w:rPr>
      </w:pPr>
      <w:bookmarkStart w:id="4" w:name="_GoBack"/>
      <w:bookmarkEnd w:id="4"/>
    </w:p>
    <w:p w14:paraId="41C10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1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15"/>
          <w:sz w:val="44"/>
          <w:szCs w:val="44"/>
          <w:lang w:val="en-US" w:eastAsia="zh-CN"/>
        </w:rPr>
        <w:t>政法经费保障体制改革</w:t>
      </w:r>
      <w:r>
        <w:rPr>
          <w:rFonts w:hint="eastAsia" w:ascii="方正小标宋简体" w:hAnsi="方正小标宋简体" w:eastAsia="方正小标宋简体" w:cs="方正小标宋简体"/>
          <w:w w:val="115"/>
          <w:sz w:val="44"/>
          <w:szCs w:val="44"/>
        </w:rPr>
        <w:t>项目支出</w:t>
      </w:r>
    </w:p>
    <w:p w14:paraId="2F107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1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15"/>
          <w:sz w:val="44"/>
          <w:szCs w:val="44"/>
        </w:rPr>
        <w:t>绩效</w:t>
      </w:r>
      <w:r>
        <w:rPr>
          <w:rFonts w:hint="eastAsia" w:ascii="方正小标宋简体" w:hAnsi="方正小标宋简体" w:eastAsia="方正小标宋简体" w:cs="方正小标宋简体"/>
          <w:w w:val="115"/>
          <w:sz w:val="44"/>
          <w:szCs w:val="44"/>
          <w:lang w:val="en-US" w:eastAsia="zh-CN"/>
        </w:rPr>
        <w:t>自评</w:t>
      </w:r>
      <w:r>
        <w:rPr>
          <w:rFonts w:hint="eastAsia" w:ascii="方正小标宋简体" w:hAnsi="方正小标宋简体" w:eastAsia="方正小标宋简体" w:cs="方正小标宋简体"/>
          <w:w w:val="115"/>
          <w:sz w:val="44"/>
          <w:szCs w:val="44"/>
          <w:lang w:eastAsia="zh-CN"/>
        </w:rPr>
        <w:t>报告</w:t>
      </w:r>
    </w:p>
    <w:p w14:paraId="0D730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pacing w:val="4"/>
          <w:w w:val="95"/>
          <w:kern w:val="2"/>
          <w:sz w:val="32"/>
          <w:szCs w:val="32"/>
          <w:lang w:val="zh-CN" w:eastAsia="zh-CN" w:bidi="zh-CN"/>
        </w:rPr>
      </w:pPr>
    </w:p>
    <w:p w14:paraId="483264E4">
      <w:pPr>
        <w:pStyle w:val="3"/>
        <w:spacing w:before="4"/>
        <w:rPr>
          <w:sz w:val="19"/>
        </w:rPr>
      </w:pPr>
    </w:p>
    <w:p w14:paraId="5E0200F4">
      <w:pPr>
        <w:pStyle w:val="3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一、项目基本情况</w:t>
      </w:r>
    </w:p>
    <w:p w14:paraId="3868B61A">
      <w:pPr>
        <w:pStyle w:val="3"/>
        <w:spacing w:before="149" w:line="326" w:lineRule="auto"/>
        <w:ind w:left="106" w:right="109" w:firstLine="645"/>
        <w:rPr>
          <w:spacing w:val="4"/>
          <w:w w:val="95"/>
        </w:rPr>
      </w:pPr>
      <w:r>
        <w:rPr>
          <w:spacing w:val="7"/>
          <w:w w:val="95"/>
        </w:rPr>
        <w:t>（一</w:t>
      </w:r>
      <w:r>
        <w:rPr>
          <w:spacing w:val="5"/>
          <w:w w:val="95"/>
        </w:rPr>
        <w:t>）</w:t>
      </w:r>
      <w:r>
        <w:rPr>
          <w:spacing w:val="4"/>
          <w:w w:val="95"/>
        </w:rPr>
        <w:t>项目概况。</w:t>
      </w:r>
    </w:p>
    <w:p w14:paraId="64D89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该项目资金主要用于加强司法行政队伍建设。以“三大行动”为抓手，着力加强司法行政队伍革命化、正规化、专业化、职业化建设。开展“政治铸魂行动”。举办政治轮训班，以“五个一”为抓手，对全市司法行政干警集中开展轮训。建立常态化长效化政治轮训机制。开设“党的二十大精神”学习专栏；以习近平新时代中国特色社会主义思想、习近平法治思想、党的二十大报告等党的最新理论政策为内容，制作专题题库，进行一月一测。开展“能力提升行动”。</w:t>
      </w:r>
    </w:p>
    <w:p w14:paraId="2DAFA125">
      <w:pPr>
        <w:pStyle w:val="4"/>
        <w:rPr>
          <w:rFonts w:hint="eastAsia"/>
          <w:lang w:val="zh-CN" w:eastAsia="zh-CN"/>
        </w:rPr>
      </w:pPr>
    </w:p>
    <w:p w14:paraId="7FC46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立项依据：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市委市政府部署以及局党组办公会议</w:t>
      </w:r>
    </w:p>
    <w:p w14:paraId="32B48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实施主体：淮北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市司法局</w:t>
      </w:r>
    </w:p>
    <w:p w14:paraId="01736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起止时间：202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.1-202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.12</w:t>
      </w:r>
    </w:p>
    <w:p w14:paraId="223C8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项目内容：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完成行政复议体制改革。完成相关科室、单位设置及人员转隶工作。加快推进行政复议服务中心人员招录工作，及时充实法律专业人才。用好用活职务职级。鲜明树立重实绩重实干导向，确保人岗相适、人尽其才，激发全局干部干事创业激情。开展“作风优化行动”。有效落实市委巡察反馈整改“后半篇”文章，完善考核体系，结合省厅、市委市政府最新考核内容，进一步细化县区司法局、局属各单位年度综合考核；科学规范公务员平时考核及年度考核程序，用好考核结果；重新修改完善，印发《市司法局机关制度汇编》。加强党对公共法律服务体系建设的全面领导，坚持以政治建设为统领，协助局党组，配合律师工作科、公共法律服务管理科，以强化制度执行为抓手，进一步加大对公共法律服务行业的监管力度，完善行政管理与行业自律管理相结合的体制机制建设，规范公共法律服务市场秩序。</w:t>
      </w:r>
    </w:p>
    <w:p w14:paraId="34346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300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年度预算安排：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326.02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万元。</w:t>
      </w:r>
    </w:p>
    <w:p w14:paraId="0F46DA8A">
      <w:pPr>
        <w:pStyle w:val="3"/>
        <w:spacing w:before="6"/>
        <w:ind w:left="751"/>
      </w:pPr>
      <w:r>
        <w:t>（二）项目绩效目标。</w:t>
      </w:r>
    </w:p>
    <w:p w14:paraId="64356868">
      <w:pPr>
        <w:pStyle w:val="3"/>
        <w:spacing w:before="6"/>
        <w:ind w:left="751"/>
      </w:pPr>
    </w:p>
    <w:p w14:paraId="5EE29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贯彻执行国家和省关于司法行政工作的方针、政策，组织制定全市司法行政工作的政策和规章制度；开展司法行政工作培训工作，指导、监督全市基层司法所建设、人民调解、社区矫正、基层法律服务和安置帮教工作；管理、指导全是面向社会服务的司法鉴定工作。</w:t>
      </w:r>
    </w:p>
    <w:p w14:paraId="20DD4799">
      <w:pPr>
        <w:pStyle w:val="3"/>
        <w:spacing w:before="149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二、绩效评价工作开展情况</w:t>
      </w:r>
    </w:p>
    <w:p w14:paraId="5EA32FF9">
      <w:pPr>
        <w:pStyle w:val="3"/>
        <w:spacing w:before="149"/>
        <w:ind w:left="751"/>
      </w:pPr>
      <w:r>
        <w:t>（一）绩效评价目的、对象和范围。</w:t>
      </w:r>
    </w:p>
    <w:p w14:paraId="5841CB12">
      <w:pPr>
        <w:pStyle w:val="6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zh-CN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政法经费保障体制改革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ar"/>
        </w:rPr>
        <w:t>项目的实施，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有利于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深化司法行政改革。率先探索建立行政复议员制度，严把行政复议人员入口关，确保行政复议专业队伍质量，做到“人案相适、人岗相适”，力争实现行政复议“有机构、有人员、有场所、有经费”。建立行政复议案件审理委员会、行政复议咨询委员会，保障全市各行政管理领域案件专业办理。对行政复议接待、咨询、立案、审理、听证、监督、网上公开、档案管理等全要素、全流程规范，实行“开门受理、开门审理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持续深化重点执法领域综合行政执法体制改革，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行“综合查一次”改革，提升行政执法合力，贯彻落实《安徽省人民政府关于赋予乡镇街道部分县级审批执法权限的决定》，配合相关部门做好执法重心向县级政府下移，协调推进乡镇（街道）逐步实现“一支队伍管执法”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。</w:t>
      </w:r>
    </w:p>
    <w:p w14:paraId="63E815A9">
      <w:pPr>
        <w:pStyle w:val="3"/>
        <w:spacing w:before="149"/>
        <w:ind w:left="751"/>
      </w:pPr>
    </w:p>
    <w:p w14:paraId="045742AA">
      <w:pPr>
        <w:pStyle w:val="3"/>
        <w:numPr>
          <w:ilvl w:val="0"/>
          <w:numId w:val="1"/>
        </w:numPr>
        <w:spacing w:before="152" w:line="326" w:lineRule="auto"/>
        <w:ind w:left="106" w:right="106" w:firstLine="645"/>
        <w:rPr>
          <w:spacing w:val="-2"/>
        </w:rPr>
      </w:pPr>
      <w:r>
        <w:rPr>
          <w:spacing w:val="-2"/>
        </w:rPr>
        <w:t>绩效评价原则、评价指标体系</w:t>
      </w:r>
      <w:r>
        <w:t>（附表说明</w:t>
      </w:r>
      <w:r>
        <w:rPr>
          <w:spacing w:val="-159"/>
        </w:rPr>
        <w:t>）</w:t>
      </w:r>
      <w:r>
        <w:rPr>
          <w:spacing w:val="-2"/>
        </w:rPr>
        <w:t>、评价方法、评价标准等。</w:t>
      </w:r>
    </w:p>
    <w:p w14:paraId="55A7E73D">
      <w:pPr>
        <w:pStyle w:val="6"/>
        <w:spacing w:line="600" w:lineRule="exact"/>
        <w:ind w:firstLine="469" w:firstLineChars="199"/>
        <w:jc w:val="both"/>
        <w:rPr>
          <w:rFonts w:hint="default" w:ascii="仿宋_GB2312" w:hAnsi="ˎ̥" w:eastAsia="仿宋_GB2312"/>
          <w:sz w:val="30"/>
          <w:szCs w:val="30"/>
          <w:lang w:val="en-US"/>
        </w:rPr>
      </w:pPr>
      <w:r>
        <w:rPr>
          <w:rFonts w:hint="eastAsia"/>
          <w:spacing w:val="-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  <w:t>我局对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政法经费保障体制改革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ar"/>
        </w:rPr>
        <w:t>项目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  <w:t>主要通过经济效益、社会效益、群众满意度三个维度对该项目绩效进行评价，项目经济效益明显，社会效益明显，群众满意度达到百分之百，则评判该项目项目绩效达到预期，并根据项目决策情况，项目过程情况，项目产出情况，项目效益情况，以及绩效实际结果进行自评。</w:t>
      </w:r>
    </w:p>
    <w:p w14:paraId="6D90680D">
      <w:pPr>
        <w:pStyle w:val="3"/>
        <w:numPr>
          <w:ilvl w:val="0"/>
          <w:numId w:val="0"/>
        </w:numPr>
        <w:spacing w:before="152" w:line="326" w:lineRule="auto"/>
        <w:ind w:right="106" w:rightChars="0"/>
        <w:rPr>
          <w:rFonts w:hint="default" w:eastAsia="仿宋_GB2312"/>
          <w:spacing w:val="-2"/>
          <w:lang w:val="en-US" w:eastAsia="zh-CN"/>
        </w:rPr>
      </w:pPr>
    </w:p>
    <w:p w14:paraId="54B886F4">
      <w:pPr>
        <w:pStyle w:val="3"/>
        <w:numPr>
          <w:ilvl w:val="0"/>
          <w:numId w:val="1"/>
        </w:numPr>
        <w:spacing w:before="3"/>
        <w:ind w:left="106" w:leftChars="0" w:firstLine="645" w:firstLineChars="0"/>
      </w:pPr>
      <w:r>
        <w:t>绩效评价工作过程。</w:t>
      </w:r>
    </w:p>
    <w:p w14:paraId="6C4ADD25">
      <w:pPr>
        <w:pStyle w:val="6"/>
        <w:spacing w:line="600" w:lineRule="exact"/>
        <w:ind w:firstLine="628" w:firstLineChars="199"/>
        <w:jc w:val="both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  <w:t>一是明确了分管领导责任制，专人负责，切实加强了对项目的管理。二是制定了完善的项目实施方案，明确了项目的实施时间、目标任务、具体措施等内容。三是加强资金监管，确保资金安全。切实加强了项目的资金管理，定期与不定期对资金管理使用情况进行监督检查，坚决杜绝截留、挪用、套取项目资金等违法违纪问题的发生，做到专款专用，确保了项目建设效果。四是加强财务人员培训，熟练掌握预算编制和预算执行等各项政策，严格遵守各项财经纪律，不断提高业务能力，确保预算指标执行过程不交叉，不断提高绩效目标管理水平。</w:t>
      </w:r>
    </w:p>
    <w:p w14:paraId="47FE1858">
      <w:pPr>
        <w:pStyle w:val="3"/>
        <w:numPr>
          <w:ilvl w:val="0"/>
          <w:numId w:val="2"/>
        </w:numPr>
        <w:spacing w:before="151" w:line="326" w:lineRule="auto"/>
        <w:ind w:left="751" w:right="1534"/>
        <w:outlineLvl w:val="0"/>
      </w:pPr>
      <w:bookmarkStart w:id="0" w:name="_Toc27472"/>
      <w:r>
        <w:rPr>
          <w:rFonts w:hint="eastAsia" w:ascii="黑体" w:eastAsia="黑体"/>
        </w:rPr>
        <w:t>综合评价情况及评价结论</w:t>
      </w:r>
      <w:r>
        <w:t>（附相关评分表）</w:t>
      </w:r>
      <w:bookmarkEnd w:id="0"/>
    </w:p>
    <w:p w14:paraId="52B0653C">
      <w:pPr>
        <w:widowControl/>
        <w:numPr>
          <w:ilvl w:val="0"/>
          <w:numId w:val="0"/>
        </w:numPr>
        <w:shd w:val="clear" w:color="auto"/>
        <w:spacing w:line="560" w:lineRule="atLeast"/>
        <w:ind w:leftChars="200" w:firstLine="632" w:firstLineChars="200"/>
        <w:jc w:val="left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  <w:t>专项立项依据充分，资金管理办法规范，制订了资金管理办法。</w:t>
      </w:r>
    </w:p>
    <w:p w14:paraId="4EBB3D0F">
      <w:pPr>
        <w:widowControl/>
        <w:numPr>
          <w:ilvl w:val="0"/>
          <w:numId w:val="0"/>
        </w:numPr>
        <w:shd w:val="clear" w:color="auto"/>
        <w:spacing w:line="560" w:lineRule="atLeast"/>
        <w:ind w:leftChars="200" w:firstLine="632" w:firstLineChars="200"/>
        <w:jc w:val="left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  <w:t>资金分配合理，能够突出重点，公平公正，无散小差现象，资金分配使用符合资金管理办法。</w:t>
      </w:r>
    </w:p>
    <w:p w14:paraId="17FC962D">
      <w:pPr>
        <w:widowControl/>
        <w:numPr>
          <w:ilvl w:val="0"/>
          <w:numId w:val="0"/>
        </w:numPr>
        <w:shd w:val="clear" w:color="auto"/>
        <w:spacing w:line="560" w:lineRule="atLeast"/>
        <w:ind w:leftChars="200" w:firstLine="632" w:firstLineChars="200"/>
        <w:jc w:val="left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  <w:t>拨付及时，无滞留、闲置现象。</w:t>
      </w:r>
    </w:p>
    <w:p w14:paraId="5BB65218">
      <w:pPr>
        <w:widowControl/>
        <w:numPr>
          <w:ilvl w:val="0"/>
          <w:numId w:val="0"/>
        </w:numPr>
        <w:shd w:val="clear" w:color="auto"/>
        <w:spacing w:line="560" w:lineRule="atLeast"/>
        <w:ind w:leftChars="200" w:firstLine="632" w:firstLineChars="200"/>
        <w:jc w:val="left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  <w:t>资金使用合理，无截留、挪用现象，资金使用产生了预期效益。</w:t>
      </w:r>
    </w:p>
    <w:p w14:paraId="04136124">
      <w:pPr>
        <w:pStyle w:val="3"/>
        <w:numPr>
          <w:ilvl w:val="0"/>
          <w:numId w:val="0"/>
        </w:numPr>
        <w:spacing w:before="151" w:line="326" w:lineRule="auto"/>
        <w:ind w:right="1534" w:rightChars="0"/>
        <w:outlineLvl w:val="0"/>
      </w:pPr>
    </w:p>
    <w:p w14:paraId="7BE9DCDB">
      <w:pPr>
        <w:pStyle w:val="3"/>
        <w:spacing w:before="151" w:line="326" w:lineRule="auto"/>
        <w:ind w:left="751" w:right="1534"/>
        <w:outlineLvl w:val="0"/>
      </w:pPr>
      <w:r>
        <w:t xml:space="preserve"> </w:t>
      </w:r>
      <w:bookmarkStart w:id="1" w:name="_Toc9927"/>
      <w:r>
        <w:rPr>
          <w:rFonts w:hint="eastAsia" w:ascii="黑体" w:eastAsia="黑体"/>
        </w:rPr>
        <w:t>四、绩效评价指标分析</w:t>
      </w:r>
      <w:r>
        <w:t>（可附表进行分析）</w:t>
      </w:r>
      <w:bookmarkEnd w:id="1"/>
    </w:p>
    <w:p w14:paraId="540C1DFF">
      <w:pPr>
        <w:pStyle w:val="3"/>
        <w:spacing w:before="4"/>
        <w:ind w:left="751"/>
        <w:rPr>
          <w:w w:val="95"/>
        </w:rPr>
      </w:pPr>
      <w:r>
        <w:rPr>
          <w:w w:val="95"/>
        </w:rPr>
        <w:t>（一）项目决策情况。</w:t>
      </w:r>
    </w:p>
    <w:p w14:paraId="18093524">
      <w:pPr>
        <w:widowControl/>
        <w:numPr>
          <w:ilvl w:val="0"/>
          <w:numId w:val="0"/>
        </w:numPr>
        <w:shd w:val="clear" w:color="auto"/>
        <w:spacing w:line="560" w:lineRule="atLeast"/>
        <w:ind w:leftChars="200" w:firstLine="632" w:firstLineChars="200"/>
        <w:jc w:val="left"/>
        <w:rPr>
          <w:rFonts w:hint="default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  <w:t>项目立项依据充分、决策过程根据相关制度制定，符合资金管理办法。</w:t>
      </w:r>
    </w:p>
    <w:p w14:paraId="4ECEB932">
      <w:pPr>
        <w:pStyle w:val="3"/>
        <w:numPr>
          <w:ilvl w:val="0"/>
          <w:numId w:val="3"/>
        </w:numPr>
        <w:spacing w:before="151"/>
        <w:ind w:left="751"/>
        <w:rPr>
          <w:w w:val="95"/>
        </w:rPr>
      </w:pPr>
      <w:r>
        <w:rPr>
          <w:w w:val="95"/>
        </w:rPr>
        <w:t>项目过程情况。</w:t>
      </w:r>
    </w:p>
    <w:p w14:paraId="5573FFC0">
      <w:pPr>
        <w:pStyle w:val="3"/>
        <w:numPr>
          <w:ilvl w:val="0"/>
          <w:numId w:val="0"/>
        </w:numPr>
        <w:spacing w:before="151"/>
        <w:ind w:left="304" w:hanging="304" w:hangingChars="100"/>
        <w:rPr>
          <w:rFonts w:hint="default" w:eastAsia="仿宋_GB2312"/>
          <w:w w:val="95"/>
          <w:lang w:val="en-US" w:eastAsia="zh-CN"/>
        </w:rPr>
      </w:pPr>
      <w:r>
        <w:rPr>
          <w:rFonts w:hint="eastAsia"/>
          <w:w w:val="95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  <w:t>项目执行过程中，资金拨付及时，重大变更严格按照资金管理办法执行。</w:t>
      </w:r>
    </w:p>
    <w:p w14:paraId="38B05B30">
      <w:pPr>
        <w:pStyle w:val="3"/>
        <w:numPr>
          <w:ilvl w:val="0"/>
          <w:numId w:val="3"/>
        </w:numPr>
        <w:spacing w:before="149"/>
        <w:ind w:left="751" w:leftChars="0" w:firstLine="0" w:firstLineChars="0"/>
        <w:rPr>
          <w:w w:val="95"/>
        </w:rPr>
      </w:pPr>
      <w:r>
        <w:rPr>
          <w:w w:val="95"/>
        </w:rPr>
        <w:t>项目产出情况。</w:t>
      </w:r>
    </w:p>
    <w:p w14:paraId="1345B0A3">
      <w:pPr>
        <w:pStyle w:val="3"/>
        <w:numPr>
          <w:ilvl w:val="0"/>
          <w:numId w:val="0"/>
        </w:numPr>
        <w:spacing w:before="149"/>
        <w:ind w:left="751" w:leftChars="0"/>
        <w:rPr>
          <w:rFonts w:hint="default" w:eastAsia="仿宋_GB2312"/>
          <w:w w:val="95"/>
          <w:lang w:val="en-US" w:eastAsia="zh-CN"/>
        </w:rPr>
      </w:pPr>
      <w:r>
        <w:rPr>
          <w:rFonts w:hint="eastAsia"/>
          <w:w w:val="95"/>
          <w:lang w:val="en-US" w:eastAsia="zh-CN"/>
        </w:rPr>
        <w:t>项目产出情况达到预期。</w:t>
      </w:r>
    </w:p>
    <w:p w14:paraId="0BE286A9">
      <w:pPr>
        <w:pStyle w:val="3"/>
        <w:numPr>
          <w:ilvl w:val="0"/>
          <w:numId w:val="3"/>
        </w:numPr>
        <w:spacing w:before="150"/>
        <w:ind w:left="751" w:leftChars="0" w:firstLine="0" w:firstLineChars="0"/>
        <w:rPr>
          <w:w w:val="95"/>
        </w:rPr>
      </w:pPr>
      <w:r>
        <w:rPr>
          <w:w w:val="95"/>
        </w:rPr>
        <w:t>项目效益情况。</w:t>
      </w:r>
    </w:p>
    <w:p w14:paraId="1C317EF4">
      <w:pPr>
        <w:pStyle w:val="3"/>
        <w:numPr>
          <w:ilvl w:val="0"/>
          <w:numId w:val="0"/>
        </w:numPr>
        <w:spacing w:before="150"/>
        <w:ind w:left="751" w:leftChars="0"/>
        <w:rPr>
          <w:rFonts w:hint="default" w:eastAsia="仿宋_GB2312"/>
          <w:w w:val="95"/>
          <w:lang w:val="en-US" w:eastAsia="zh-CN"/>
        </w:rPr>
      </w:pPr>
      <w:r>
        <w:rPr>
          <w:rFonts w:hint="eastAsia"/>
          <w:w w:val="95"/>
          <w:lang w:val="en-US" w:eastAsia="zh-CN"/>
        </w:rPr>
        <w:t>项目效益情况达到预期。</w:t>
      </w:r>
    </w:p>
    <w:p w14:paraId="62625A0D">
      <w:pPr>
        <w:pStyle w:val="3"/>
        <w:numPr>
          <w:ilvl w:val="0"/>
          <w:numId w:val="2"/>
        </w:numPr>
        <w:spacing w:before="151"/>
        <w:ind w:left="751" w:leftChars="0" w:firstLine="0" w:firstLineChars="0"/>
        <w:outlineLvl w:val="0"/>
        <w:rPr>
          <w:rFonts w:hint="eastAsia" w:ascii="黑体" w:eastAsia="黑体"/>
        </w:rPr>
      </w:pPr>
      <w:bookmarkStart w:id="2" w:name="_Toc1801"/>
      <w:r>
        <w:rPr>
          <w:rFonts w:hint="eastAsia" w:ascii="黑体" w:eastAsia="黑体"/>
        </w:rPr>
        <w:t>主要经验及做法</w:t>
      </w:r>
      <w:bookmarkEnd w:id="2"/>
    </w:p>
    <w:p w14:paraId="6603B8C4">
      <w:pPr>
        <w:widowControl/>
        <w:numPr>
          <w:ilvl w:val="0"/>
          <w:numId w:val="0"/>
        </w:numPr>
        <w:shd w:val="clear" w:color="auto"/>
        <w:spacing w:line="560" w:lineRule="atLeast"/>
        <w:ind w:leftChars="200" w:firstLine="632" w:firstLineChars="200"/>
        <w:jc w:val="left"/>
        <w:rPr>
          <w:rFonts w:hint="eastAsia" w:ascii="黑体" w:eastAsia="黑体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  <w:t>项目一经批复，要认真细化方案，明确责任人，确定项目实施期间，定期开展内部检查。同时做好项目支出绩效目标执行中的控制管理，确保资金对应绩效目标执行，强化项目推进过程的管理，确保项目按计划推进。</w:t>
      </w:r>
    </w:p>
    <w:p w14:paraId="4E1847BA">
      <w:pPr>
        <w:pStyle w:val="3"/>
        <w:numPr>
          <w:ilvl w:val="0"/>
          <w:numId w:val="2"/>
        </w:numPr>
        <w:spacing w:before="149" w:line="326" w:lineRule="auto"/>
        <w:ind w:left="751" w:leftChars="0" w:right="4733" w:firstLine="0" w:firstLineChars="0"/>
        <w:outlineLvl w:val="0"/>
        <w:rPr>
          <w:rFonts w:hint="eastAsia" w:ascii="黑体" w:eastAsia="黑体"/>
        </w:rPr>
      </w:pPr>
      <w:bookmarkStart w:id="3" w:name="_Toc16002"/>
      <w:r>
        <w:rPr>
          <w:rFonts w:hint="eastAsia" w:ascii="黑体" w:eastAsia="黑体"/>
        </w:rPr>
        <w:t>存在问题及原因分析</w:t>
      </w:r>
    </w:p>
    <w:p w14:paraId="3DCFD64A">
      <w:pPr>
        <w:widowControl/>
        <w:numPr>
          <w:ilvl w:val="0"/>
          <w:numId w:val="0"/>
        </w:numPr>
        <w:shd w:val="clear" w:color="auto"/>
        <w:spacing w:line="560" w:lineRule="atLeast"/>
        <w:ind w:firstLine="632" w:firstLineChars="200"/>
        <w:jc w:val="left"/>
        <w:rPr>
          <w:rFonts w:hint="eastAsia" w:ascii="黑体" w:eastAsia="黑体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zh-CN"/>
        </w:rPr>
        <w:t>加强财务人员培训，熟练掌握预算编制和预算执行等各项政策，严格遵守各项财经纪律，不断提高业务能力，确保预算指标执行过程不交叉，不断提高绩效目标管理水平。</w:t>
      </w:r>
    </w:p>
    <w:p w14:paraId="4E37B4D9">
      <w:pPr>
        <w:pStyle w:val="3"/>
        <w:numPr>
          <w:ilvl w:val="0"/>
          <w:numId w:val="0"/>
        </w:numPr>
        <w:spacing w:before="149" w:line="326" w:lineRule="auto"/>
        <w:ind w:left="751" w:leftChars="0" w:right="4733" w:rightChars="0"/>
        <w:outlineLvl w:val="0"/>
        <w:rPr>
          <w:rFonts w:hint="eastAsia" w:ascii="黑体" w:eastAsia="黑体"/>
        </w:rPr>
      </w:pPr>
      <w:r>
        <w:rPr>
          <w:rFonts w:hint="eastAsia" w:ascii="黑体" w:eastAsia="黑体"/>
          <w:lang w:val="en-US" w:eastAsia="zh-CN"/>
        </w:rPr>
        <w:t>六</w:t>
      </w:r>
      <w:r>
        <w:rPr>
          <w:rFonts w:hint="eastAsia" w:ascii="黑体" w:eastAsia="黑体"/>
        </w:rPr>
        <w:t>、有关建议</w:t>
      </w:r>
      <w:bookmarkEnd w:id="3"/>
    </w:p>
    <w:p w14:paraId="04EB1A60">
      <w:pPr>
        <w:pStyle w:val="3"/>
        <w:spacing w:before="6" w:line="326" w:lineRule="auto"/>
        <w:ind w:left="106" w:right="109" w:firstLine="645"/>
        <w:jc w:val="both"/>
        <w:rPr>
          <w:spacing w:val="4"/>
        </w:rPr>
      </w:pPr>
      <w:r>
        <w:rPr>
          <w:rFonts w:hint="eastAsia"/>
          <w:spacing w:val="4"/>
          <w:w w:val="95"/>
          <w:lang w:val="en-US" w:eastAsia="zh-CN"/>
        </w:rPr>
        <w:t>在编制年度预算时，在进行调查研究的基础上，充分论证项目立项的必要性、投入经济性、绩效目标合理性、实施方案可行性、确保项目具有可操作性，醒目实施达到预期效果，发挥最大效益。强化预算下达、预算执行环节指标使用实现前后对应，为单位进行绩效目标控制管理提供基础保障，提高单位项目支出资金使用、项目实施精细化管理水平。</w:t>
      </w:r>
    </w:p>
    <w:p w14:paraId="644E10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textAlignment w:val="auto"/>
        <w:rPr>
          <w:rFonts w:ascii="黑体"/>
        </w:rPr>
      </w:pPr>
      <w:r>
        <w:rPr>
          <w:rFonts w:hint="eastAsia" w:ascii="黑体" w:eastAsia="黑体"/>
          <w:w w:val="95"/>
        </w:rPr>
        <w:t>八、其他需要说明的问题</w:t>
      </w:r>
    </w:p>
    <w:p w14:paraId="204DEDF4">
      <w:pPr>
        <w:pStyle w:val="3"/>
        <w:spacing w:before="6"/>
        <w:rPr>
          <w:rFonts w:ascii="黑体"/>
          <w:sz w:val="23"/>
        </w:rPr>
      </w:pPr>
    </w:p>
    <w:p w14:paraId="4FD934F3">
      <w:pPr>
        <w:pStyle w:val="3"/>
        <w:spacing w:before="1"/>
        <w:ind w:left="1662" w:leftChars="357" w:hanging="912" w:hangingChars="300"/>
        <w:jc w:val="left"/>
        <w:rPr>
          <w:sz w:val="32"/>
        </w:rPr>
      </w:pPr>
      <w:r>
        <w:rPr>
          <w:w w:val="95"/>
        </w:rPr>
        <w:t>附：</w:t>
      </w:r>
      <w:r>
        <w:rPr>
          <w:rFonts w:hint="eastAsia"/>
          <w:w w:val="95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政法经费保障体制改革</w:t>
      </w:r>
      <w:r>
        <w:rPr>
          <w:sz w:val="32"/>
        </w:rPr>
        <w:t>项目绩效目标完成清单（</w:t>
      </w:r>
      <w:r>
        <w:rPr>
          <w:spacing w:val="-23"/>
          <w:sz w:val="32"/>
        </w:rPr>
        <w:t xml:space="preserve">见附表 </w:t>
      </w:r>
      <w:r>
        <w:rPr>
          <w:rFonts w:hint="eastAsia"/>
          <w:spacing w:val="-23"/>
          <w:sz w:val="32"/>
          <w:lang w:val="en-US" w:eastAsia="zh-CN"/>
        </w:rPr>
        <w:t>4-</w:t>
      </w:r>
      <w:r>
        <w:rPr>
          <w:sz w:val="32"/>
        </w:rPr>
        <w:t>1）</w:t>
      </w:r>
    </w:p>
    <w:p w14:paraId="738EF19B">
      <w:pPr>
        <w:pStyle w:val="9"/>
        <w:numPr>
          <w:ilvl w:val="1"/>
          <w:numId w:val="4"/>
        </w:numPr>
        <w:tabs>
          <w:tab w:val="left" w:pos="1715"/>
        </w:tabs>
        <w:spacing w:before="149" w:after="0" w:line="240" w:lineRule="auto"/>
        <w:ind w:left="1714" w:right="0" w:hanging="323"/>
        <w:jc w:val="left"/>
        <w:rPr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政法经费保障体制改革</w:t>
      </w:r>
      <w:r>
        <w:rPr>
          <w:sz w:val="32"/>
        </w:rPr>
        <w:t>项目绩效评价问题清单（</w:t>
      </w:r>
      <w:r>
        <w:rPr>
          <w:spacing w:val="-23"/>
          <w:sz w:val="32"/>
        </w:rPr>
        <w:t>见附表</w:t>
      </w:r>
      <w:r>
        <w:rPr>
          <w:rFonts w:hint="eastAsia"/>
          <w:spacing w:val="-23"/>
          <w:sz w:val="32"/>
          <w:lang w:val="en-US" w:eastAsia="zh-CN"/>
        </w:rPr>
        <w:t>4-</w:t>
      </w:r>
      <w:r>
        <w:rPr>
          <w:sz w:val="32"/>
        </w:rPr>
        <w:t>2）</w:t>
      </w:r>
    </w:p>
    <w:p w14:paraId="23931BE2">
      <w:pPr>
        <w:rPr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政法经费保障体制改革</w:t>
      </w:r>
      <w:r>
        <w:rPr>
          <w:sz w:val="32"/>
        </w:rPr>
        <w:t>项目绩效评价评分情况表</w:t>
      </w:r>
    </w:p>
    <w:p w14:paraId="43B79804">
      <w:pPr>
        <w:ind w:firstLine="1920" w:firstLineChars="600"/>
        <w:rPr>
          <w:sz w:val="32"/>
        </w:rPr>
      </w:pPr>
      <w:r>
        <w:rPr>
          <w:sz w:val="32"/>
        </w:rPr>
        <w:t>（</w:t>
      </w:r>
      <w:r>
        <w:rPr>
          <w:spacing w:val="-22"/>
          <w:sz w:val="32"/>
        </w:rPr>
        <w:t>见附表</w:t>
      </w:r>
      <w:r>
        <w:rPr>
          <w:rFonts w:hint="eastAsia"/>
          <w:spacing w:val="-22"/>
          <w:sz w:val="32"/>
          <w:lang w:val="en-US" w:eastAsia="zh-CN"/>
        </w:rPr>
        <w:t>4-</w:t>
      </w:r>
      <w:r>
        <w:rPr>
          <w:sz w:val="32"/>
        </w:rPr>
        <w:t>3）</w:t>
      </w:r>
    </w:p>
    <w:p w14:paraId="3CA39936">
      <w:pPr>
        <w:pStyle w:val="4"/>
        <w:rPr>
          <w:sz w:val="32"/>
        </w:rPr>
      </w:pPr>
    </w:p>
    <w:p w14:paraId="7CD70B38">
      <w:pPr>
        <w:rPr>
          <w:rFonts w:hint="eastAsia" w:ascii="黑体" w:hAnsi="黑体" w:eastAsia="黑体" w:cs="黑体"/>
        </w:rPr>
      </w:pPr>
    </w:p>
    <w:p w14:paraId="31134B24">
      <w:pPr>
        <w:pStyle w:val="4"/>
        <w:ind w:left="0" w:leftChars="0" w:firstLine="0" w:firstLineChars="0"/>
        <w:rPr>
          <w:rFonts w:hint="eastAsia"/>
        </w:rPr>
      </w:pPr>
    </w:p>
    <w:p w14:paraId="0A95FFFD">
      <w:pPr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597D9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/>
        <w:ind w:left="0" w:right="0" w:firstLine="0"/>
        <w:jc w:val="left"/>
        <w:textAlignment w:val="auto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附表</w:t>
      </w:r>
      <w:r>
        <w:rPr>
          <w:rFonts w:hint="eastAsia" w:ascii="黑体" w:eastAsia="黑体"/>
          <w:sz w:val="28"/>
          <w:lang w:val="en-US" w:eastAsia="zh-CN"/>
        </w:rPr>
        <w:t>4-</w:t>
      </w:r>
      <w:r>
        <w:rPr>
          <w:rFonts w:hint="eastAsia" w:ascii="黑体" w:eastAsia="黑体"/>
          <w:sz w:val="28"/>
        </w:rPr>
        <w:t>1</w:t>
      </w:r>
    </w:p>
    <w:p w14:paraId="5B34ECA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政法经费保障体制改革</w:t>
      </w:r>
      <w:r>
        <w:rPr>
          <w:rFonts w:hint="eastAsia" w:ascii="黑体" w:hAnsi="黑体" w:eastAsia="黑体" w:cs="黑体"/>
        </w:rPr>
        <w:t>项目绩效目标完成清单</w:t>
      </w:r>
    </w:p>
    <w:tbl>
      <w:tblPr>
        <w:tblStyle w:val="7"/>
        <w:tblW w:w="13485" w:type="dxa"/>
        <w:tblInd w:w="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5262"/>
        <w:gridCol w:w="5625"/>
        <w:gridCol w:w="1590"/>
      </w:tblGrid>
      <w:tr w14:paraId="12CC89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noWrap w:val="0"/>
            <w:vAlign w:val="top"/>
          </w:tcPr>
          <w:p w14:paraId="395FA591">
            <w:pPr>
              <w:pStyle w:val="10"/>
              <w:spacing w:before="6"/>
              <w:rPr>
                <w:b/>
                <w:sz w:val="20"/>
              </w:rPr>
            </w:pPr>
          </w:p>
          <w:p w14:paraId="41FF0C7E">
            <w:pPr>
              <w:pStyle w:val="10"/>
              <w:ind w:left="218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5262" w:type="dxa"/>
            <w:noWrap w:val="0"/>
            <w:vAlign w:val="top"/>
          </w:tcPr>
          <w:p w14:paraId="68E25EA1">
            <w:pPr>
              <w:pStyle w:val="10"/>
              <w:ind w:left="2131" w:right="2099"/>
              <w:jc w:val="center"/>
              <w:rPr>
                <w:rFonts w:hint="eastAsia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绩效目标设定情况</w:t>
            </w:r>
          </w:p>
        </w:tc>
        <w:tc>
          <w:tcPr>
            <w:tcW w:w="5625" w:type="dxa"/>
            <w:noWrap w:val="0"/>
            <w:vAlign w:val="top"/>
          </w:tcPr>
          <w:p w14:paraId="1BAE1E06">
            <w:pPr>
              <w:pStyle w:val="10"/>
              <w:ind w:left="2208" w:right="2176"/>
              <w:jc w:val="center"/>
              <w:rPr>
                <w:rFonts w:hint="eastAsia" w:eastAsia="宋体"/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绩效目标完成情况</w:t>
            </w:r>
          </w:p>
        </w:tc>
        <w:tc>
          <w:tcPr>
            <w:tcW w:w="1590" w:type="dxa"/>
            <w:noWrap w:val="0"/>
            <w:vAlign w:val="top"/>
          </w:tcPr>
          <w:p w14:paraId="23667545">
            <w:pPr>
              <w:pStyle w:val="10"/>
              <w:spacing w:before="6"/>
              <w:rPr>
                <w:b/>
                <w:sz w:val="20"/>
              </w:rPr>
            </w:pPr>
          </w:p>
          <w:p w14:paraId="1A451BAB">
            <w:pPr>
              <w:pStyle w:val="10"/>
              <w:ind w:left="406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 w14:paraId="1BF5AD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noWrap w:val="0"/>
            <w:vAlign w:val="top"/>
          </w:tcPr>
          <w:p w14:paraId="576A1191">
            <w:pPr>
              <w:pStyle w:val="10"/>
              <w:rPr>
                <w:b/>
                <w:sz w:val="18"/>
              </w:rPr>
            </w:pPr>
          </w:p>
          <w:p w14:paraId="5CC27731">
            <w:pPr>
              <w:pStyle w:val="10"/>
              <w:spacing w:before="1"/>
              <w:rPr>
                <w:b/>
                <w:sz w:val="20"/>
              </w:rPr>
            </w:pPr>
          </w:p>
          <w:p w14:paraId="54D01416">
            <w:pPr>
              <w:pStyle w:val="10"/>
              <w:ind w:left="220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（一）</w:t>
            </w:r>
          </w:p>
        </w:tc>
        <w:tc>
          <w:tcPr>
            <w:tcW w:w="5262" w:type="dxa"/>
            <w:noWrap w:val="0"/>
            <w:vAlign w:val="top"/>
          </w:tcPr>
          <w:p w14:paraId="06A073F5">
            <w:pPr>
              <w:pStyle w:val="10"/>
              <w:rPr>
                <w:sz w:val="18"/>
              </w:rPr>
            </w:pPr>
            <w:r>
              <w:rPr>
                <w:b/>
                <w:sz w:val="18"/>
              </w:rPr>
              <w:t>总体目标任务：</w:t>
            </w:r>
            <w:r>
              <w:rPr>
                <w:sz w:val="18"/>
              </w:rPr>
              <w:t>（用文字定性或定量表述总体情况）</w:t>
            </w:r>
          </w:p>
        </w:tc>
        <w:tc>
          <w:tcPr>
            <w:tcW w:w="5625" w:type="dxa"/>
            <w:noWrap w:val="0"/>
            <w:vAlign w:val="top"/>
          </w:tcPr>
          <w:p w14:paraId="5CB28912">
            <w:pPr>
              <w:pStyle w:val="10"/>
              <w:rPr>
                <w:b/>
                <w:sz w:val="18"/>
              </w:rPr>
            </w:pPr>
            <w:r>
              <w:rPr>
                <w:b/>
                <w:sz w:val="18"/>
              </w:rPr>
              <w:t>总体目标完成情况：</w:t>
            </w:r>
          </w:p>
        </w:tc>
        <w:tc>
          <w:tcPr>
            <w:tcW w:w="1590" w:type="dxa"/>
            <w:noWrap w:val="0"/>
            <w:vAlign w:val="top"/>
          </w:tcPr>
          <w:p w14:paraId="13844705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02A3B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noWrap w:val="0"/>
            <w:vAlign w:val="top"/>
          </w:tcPr>
          <w:p w14:paraId="05E78D9E">
            <w:pPr>
              <w:pStyle w:val="10"/>
              <w:spacing w:before="8"/>
              <w:rPr>
                <w:b/>
                <w:sz w:val="14"/>
              </w:rPr>
            </w:pPr>
          </w:p>
          <w:p w14:paraId="1F6A07F5">
            <w:pPr>
              <w:pStyle w:val="10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262" w:type="dxa"/>
            <w:noWrap w:val="0"/>
            <w:vAlign w:val="top"/>
          </w:tcPr>
          <w:p w14:paraId="21884304">
            <w:pPr>
              <w:pStyle w:val="10"/>
              <w:jc w:val="lef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制定装备配备规划和年度实施计划数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&gt;=1</w:t>
            </w:r>
          </w:p>
        </w:tc>
        <w:tc>
          <w:tcPr>
            <w:tcW w:w="5625" w:type="dxa"/>
            <w:noWrap w:val="0"/>
            <w:vAlign w:val="top"/>
          </w:tcPr>
          <w:p w14:paraId="736127F6">
            <w:pPr>
              <w:pStyle w:val="10"/>
              <w:jc w:val="left"/>
              <w:rPr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制定装备配备规划和年度实施计划数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&gt;=1</w:t>
            </w:r>
          </w:p>
        </w:tc>
        <w:tc>
          <w:tcPr>
            <w:tcW w:w="1590" w:type="dxa"/>
            <w:noWrap w:val="0"/>
            <w:vAlign w:val="top"/>
          </w:tcPr>
          <w:p w14:paraId="3146958A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6E6ECF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noWrap w:val="0"/>
            <w:vAlign w:val="top"/>
          </w:tcPr>
          <w:p w14:paraId="585009B3">
            <w:pPr>
              <w:pStyle w:val="10"/>
              <w:spacing w:before="8"/>
              <w:rPr>
                <w:b/>
                <w:sz w:val="14"/>
              </w:rPr>
            </w:pPr>
          </w:p>
          <w:p w14:paraId="0F3B283C">
            <w:pPr>
              <w:pStyle w:val="10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262" w:type="dxa"/>
            <w:noWrap w:val="0"/>
            <w:vAlign w:val="top"/>
          </w:tcPr>
          <w:p w14:paraId="4135B561">
            <w:pPr>
              <w:pStyle w:val="10"/>
              <w:jc w:val="left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市局开展装备财务检查</w:t>
            </w:r>
          </w:p>
        </w:tc>
        <w:tc>
          <w:tcPr>
            <w:tcW w:w="5625" w:type="dxa"/>
            <w:noWrap w:val="0"/>
            <w:vAlign w:val="top"/>
          </w:tcPr>
          <w:p w14:paraId="4B50881C">
            <w:pPr>
              <w:pStyle w:val="10"/>
              <w:jc w:val="left"/>
              <w:rPr>
                <w:rFonts w:ascii="Times New Roman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市局开展装备财务检查</w:t>
            </w:r>
          </w:p>
        </w:tc>
        <w:tc>
          <w:tcPr>
            <w:tcW w:w="1590" w:type="dxa"/>
            <w:noWrap w:val="0"/>
            <w:vAlign w:val="top"/>
          </w:tcPr>
          <w:p w14:paraId="6B681B73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281DBD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noWrap w:val="0"/>
            <w:vAlign w:val="top"/>
          </w:tcPr>
          <w:p w14:paraId="50E6D4BB">
            <w:pPr>
              <w:pStyle w:val="10"/>
              <w:spacing w:before="8"/>
              <w:rPr>
                <w:b/>
                <w:sz w:val="14"/>
              </w:rPr>
            </w:pPr>
          </w:p>
          <w:p w14:paraId="3C78CFA8">
            <w:pPr>
              <w:pStyle w:val="10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262" w:type="dxa"/>
            <w:noWrap w:val="0"/>
            <w:vAlign w:val="top"/>
          </w:tcPr>
          <w:p w14:paraId="0CED56DE">
            <w:pPr>
              <w:pStyle w:val="10"/>
              <w:jc w:val="left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培训合格率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&gt;=95%</w:t>
            </w:r>
          </w:p>
        </w:tc>
        <w:tc>
          <w:tcPr>
            <w:tcW w:w="5625" w:type="dxa"/>
            <w:noWrap w:val="0"/>
            <w:vAlign w:val="top"/>
          </w:tcPr>
          <w:p w14:paraId="04AE3CA9">
            <w:pPr>
              <w:pStyle w:val="10"/>
              <w:jc w:val="left"/>
              <w:rPr>
                <w:rFonts w:ascii="Times New Roman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培训合格率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&gt;=95%</w:t>
            </w:r>
          </w:p>
        </w:tc>
        <w:tc>
          <w:tcPr>
            <w:tcW w:w="1590" w:type="dxa"/>
            <w:noWrap w:val="0"/>
            <w:vAlign w:val="top"/>
          </w:tcPr>
          <w:p w14:paraId="2F2C514C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442D74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noWrap w:val="0"/>
            <w:vAlign w:val="top"/>
          </w:tcPr>
          <w:p w14:paraId="17251E55">
            <w:pPr>
              <w:pStyle w:val="10"/>
              <w:spacing w:before="8"/>
              <w:rPr>
                <w:b/>
                <w:sz w:val="14"/>
              </w:rPr>
            </w:pPr>
          </w:p>
          <w:p w14:paraId="0BE829D2">
            <w:pPr>
              <w:pStyle w:val="10"/>
              <w:spacing w:before="1"/>
              <w:ind w:left="35"/>
              <w:jc w:val="center"/>
              <w:rPr>
                <w:rFonts w:hint="eastAsia" w:eastAsia="宋体"/>
                <w:b/>
                <w:sz w:val="18"/>
                <w:lang w:eastAsia="zh-CN"/>
              </w:rPr>
            </w:pPr>
            <w:r>
              <w:rPr>
                <w:rFonts w:hint="eastAsia"/>
                <w:b/>
                <w:w w:val="99"/>
                <w:sz w:val="18"/>
                <w:lang w:val="en-US" w:eastAsia="zh-CN"/>
              </w:rPr>
              <w:t>4</w:t>
            </w:r>
          </w:p>
        </w:tc>
        <w:tc>
          <w:tcPr>
            <w:tcW w:w="5262" w:type="dxa"/>
            <w:noWrap w:val="0"/>
            <w:vAlign w:val="top"/>
          </w:tcPr>
          <w:p w14:paraId="44ED8A71">
            <w:pPr>
              <w:pStyle w:val="10"/>
              <w:jc w:val="left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业务（案件）办理及时性</w:t>
            </w:r>
          </w:p>
        </w:tc>
        <w:tc>
          <w:tcPr>
            <w:tcW w:w="5625" w:type="dxa"/>
            <w:noWrap w:val="0"/>
            <w:vAlign w:val="top"/>
          </w:tcPr>
          <w:p w14:paraId="67D7AA77">
            <w:pPr>
              <w:pStyle w:val="10"/>
              <w:jc w:val="left"/>
              <w:rPr>
                <w:rFonts w:ascii="Times New Roman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业务（案件）办理及时性</w:t>
            </w:r>
          </w:p>
        </w:tc>
        <w:tc>
          <w:tcPr>
            <w:tcW w:w="1590" w:type="dxa"/>
            <w:noWrap w:val="0"/>
            <w:vAlign w:val="top"/>
          </w:tcPr>
          <w:p w14:paraId="61A40635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09D652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noWrap w:val="0"/>
            <w:vAlign w:val="top"/>
          </w:tcPr>
          <w:p w14:paraId="40B253CA">
            <w:pPr>
              <w:pStyle w:val="10"/>
              <w:rPr>
                <w:b/>
                <w:sz w:val="20"/>
              </w:rPr>
            </w:pPr>
          </w:p>
          <w:p w14:paraId="2A4D1C7C">
            <w:pPr>
              <w:pStyle w:val="10"/>
              <w:spacing w:before="1"/>
              <w:ind w:right="184" w:firstLine="181" w:firstLineChars="10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（二）</w:t>
            </w:r>
          </w:p>
        </w:tc>
        <w:tc>
          <w:tcPr>
            <w:tcW w:w="5262" w:type="dxa"/>
            <w:noWrap w:val="0"/>
            <w:vAlign w:val="top"/>
          </w:tcPr>
          <w:p w14:paraId="67D9888D">
            <w:pPr>
              <w:pStyle w:val="10"/>
              <w:rPr>
                <w:b/>
                <w:sz w:val="20"/>
              </w:rPr>
            </w:pPr>
          </w:p>
          <w:p w14:paraId="19877753">
            <w:pPr>
              <w:pStyle w:val="10"/>
              <w:spacing w:before="1"/>
              <w:ind w:left="37"/>
              <w:rPr>
                <w:sz w:val="18"/>
              </w:rPr>
            </w:pPr>
            <w:r>
              <w:rPr>
                <w:b/>
                <w:sz w:val="18"/>
              </w:rPr>
              <w:t>年度绩效目标：</w:t>
            </w:r>
            <w:r>
              <w:rPr>
                <w:sz w:val="18"/>
              </w:rPr>
              <w:t>（用文字定性或定量表述年度情况）</w:t>
            </w:r>
          </w:p>
        </w:tc>
        <w:tc>
          <w:tcPr>
            <w:tcW w:w="5625" w:type="dxa"/>
            <w:noWrap w:val="0"/>
            <w:vAlign w:val="top"/>
          </w:tcPr>
          <w:p w14:paraId="069C7CC7">
            <w:pPr>
              <w:pStyle w:val="10"/>
              <w:rPr>
                <w:b/>
                <w:sz w:val="20"/>
              </w:rPr>
            </w:pPr>
          </w:p>
          <w:p w14:paraId="25E92261">
            <w:pPr>
              <w:pStyle w:val="10"/>
              <w:spacing w:before="1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年度绩效目标完成情况：</w:t>
            </w:r>
          </w:p>
        </w:tc>
        <w:tc>
          <w:tcPr>
            <w:tcW w:w="1590" w:type="dxa"/>
            <w:noWrap w:val="0"/>
            <w:vAlign w:val="top"/>
          </w:tcPr>
          <w:p w14:paraId="5CAF9D4A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165B94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noWrap w:val="0"/>
            <w:vAlign w:val="top"/>
          </w:tcPr>
          <w:p w14:paraId="3A2B8F12">
            <w:pPr>
              <w:pStyle w:val="10"/>
              <w:spacing w:before="8"/>
              <w:rPr>
                <w:b/>
                <w:sz w:val="14"/>
              </w:rPr>
            </w:pPr>
          </w:p>
          <w:p w14:paraId="0DF48330">
            <w:pPr>
              <w:pStyle w:val="10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262" w:type="dxa"/>
            <w:noWrap w:val="0"/>
            <w:vAlign w:val="top"/>
          </w:tcPr>
          <w:p w14:paraId="4C0309B6">
            <w:pPr>
              <w:pStyle w:val="10"/>
              <w:spacing w:before="8"/>
              <w:jc w:val="left"/>
              <w:rPr>
                <w:b/>
                <w:sz w:val="14"/>
              </w:rPr>
            </w:pPr>
          </w:p>
          <w:p w14:paraId="4AA2DF28">
            <w:pPr>
              <w:pStyle w:val="10"/>
              <w:ind w:left="37" w:leftChars="0"/>
              <w:jc w:val="left"/>
              <w:rPr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制定装备配备规划和年度实施计划数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&gt;=1</w:t>
            </w:r>
          </w:p>
        </w:tc>
        <w:tc>
          <w:tcPr>
            <w:tcW w:w="5625" w:type="dxa"/>
            <w:noWrap w:val="0"/>
            <w:vAlign w:val="top"/>
          </w:tcPr>
          <w:p w14:paraId="13081792">
            <w:pPr>
              <w:pStyle w:val="10"/>
              <w:spacing w:before="8"/>
              <w:jc w:val="left"/>
              <w:rPr>
                <w:b/>
                <w:sz w:val="14"/>
              </w:rPr>
            </w:pPr>
          </w:p>
          <w:p w14:paraId="53939FA5">
            <w:pPr>
              <w:pStyle w:val="10"/>
              <w:ind w:left="37" w:leftChars="0"/>
              <w:jc w:val="left"/>
              <w:rPr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制定装备配备规划和年度实施计划数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&gt;=1</w:t>
            </w:r>
          </w:p>
        </w:tc>
        <w:tc>
          <w:tcPr>
            <w:tcW w:w="1590" w:type="dxa"/>
            <w:noWrap w:val="0"/>
            <w:vAlign w:val="top"/>
          </w:tcPr>
          <w:p w14:paraId="0DAF8855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36E18F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noWrap w:val="0"/>
            <w:vAlign w:val="top"/>
          </w:tcPr>
          <w:p w14:paraId="5459EC72">
            <w:pPr>
              <w:pStyle w:val="10"/>
              <w:spacing w:before="8"/>
              <w:rPr>
                <w:b/>
                <w:sz w:val="14"/>
              </w:rPr>
            </w:pPr>
          </w:p>
          <w:p w14:paraId="2102E5D7">
            <w:pPr>
              <w:pStyle w:val="10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262" w:type="dxa"/>
            <w:noWrap w:val="0"/>
            <w:vAlign w:val="top"/>
          </w:tcPr>
          <w:p w14:paraId="4748CEC5">
            <w:pPr>
              <w:pStyle w:val="10"/>
              <w:jc w:val="left"/>
              <w:rPr>
                <w:rFonts w:ascii="Times New Roman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市局开展装备财务检查</w:t>
            </w:r>
          </w:p>
        </w:tc>
        <w:tc>
          <w:tcPr>
            <w:tcW w:w="5625" w:type="dxa"/>
            <w:noWrap w:val="0"/>
            <w:vAlign w:val="top"/>
          </w:tcPr>
          <w:p w14:paraId="34DB8615">
            <w:pPr>
              <w:pStyle w:val="10"/>
              <w:jc w:val="left"/>
              <w:rPr>
                <w:rFonts w:ascii="Times New Roman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市局开展装备财务检查</w:t>
            </w:r>
          </w:p>
        </w:tc>
        <w:tc>
          <w:tcPr>
            <w:tcW w:w="1590" w:type="dxa"/>
            <w:noWrap w:val="0"/>
            <w:vAlign w:val="top"/>
          </w:tcPr>
          <w:p w14:paraId="6B9A8336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2ECDC0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noWrap w:val="0"/>
            <w:vAlign w:val="top"/>
          </w:tcPr>
          <w:p w14:paraId="784ABB4C">
            <w:pPr>
              <w:pStyle w:val="10"/>
              <w:spacing w:before="8"/>
              <w:rPr>
                <w:b/>
                <w:sz w:val="14"/>
              </w:rPr>
            </w:pPr>
          </w:p>
          <w:p w14:paraId="0DE5B7C4">
            <w:pPr>
              <w:pStyle w:val="10"/>
              <w:spacing w:before="1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262" w:type="dxa"/>
            <w:noWrap w:val="0"/>
            <w:vAlign w:val="top"/>
          </w:tcPr>
          <w:p w14:paraId="14CE5C99">
            <w:pPr>
              <w:pStyle w:val="10"/>
              <w:jc w:val="left"/>
              <w:rPr>
                <w:rFonts w:ascii="Times New Roman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培训合格率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&gt;=95%</w:t>
            </w:r>
          </w:p>
        </w:tc>
        <w:tc>
          <w:tcPr>
            <w:tcW w:w="5625" w:type="dxa"/>
            <w:noWrap w:val="0"/>
            <w:vAlign w:val="top"/>
          </w:tcPr>
          <w:p w14:paraId="7BBCAB03">
            <w:pPr>
              <w:pStyle w:val="10"/>
              <w:jc w:val="left"/>
              <w:rPr>
                <w:rFonts w:ascii="Times New Roman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培训合格率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&gt;=95%</w:t>
            </w:r>
          </w:p>
        </w:tc>
        <w:tc>
          <w:tcPr>
            <w:tcW w:w="1590" w:type="dxa"/>
            <w:noWrap w:val="0"/>
            <w:vAlign w:val="top"/>
          </w:tcPr>
          <w:p w14:paraId="2D73A4A8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0F1646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noWrap w:val="0"/>
            <w:vAlign w:val="top"/>
          </w:tcPr>
          <w:p w14:paraId="76E5B662">
            <w:pPr>
              <w:pStyle w:val="10"/>
              <w:spacing w:before="164"/>
              <w:ind w:left="33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</w:t>
            </w:r>
          </w:p>
        </w:tc>
        <w:tc>
          <w:tcPr>
            <w:tcW w:w="5262" w:type="dxa"/>
            <w:noWrap w:val="0"/>
            <w:vAlign w:val="top"/>
          </w:tcPr>
          <w:p w14:paraId="37208129">
            <w:pPr>
              <w:pStyle w:val="10"/>
              <w:jc w:val="left"/>
              <w:rPr>
                <w:rFonts w:ascii="Times New Roman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业务（案件）办理及时性</w:t>
            </w:r>
          </w:p>
        </w:tc>
        <w:tc>
          <w:tcPr>
            <w:tcW w:w="5625" w:type="dxa"/>
            <w:noWrap w:val="0"/>
            <w:vAlign w:val="top"/>
          </w:tcPr>
          <w:p w14:paraId="1FFB4C12">
            <w:pPr>
              <w:pStyle w:val="10"/>
              <w:jc w:val="left"/>
              <w:rPr>
                <w:rFonts w:ascii="Times New Roman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业务（案件）办理及时性</w:t>
            </w:r>
          </w:p>
        </w:tc>
        <w:tc>
          <w:tcPr>
            <w:tcW w:w="1590" w:type="dxa"/>
            <w:noWrap w:val="0"/>
            <w:vAlign w:val="top"/>
          </w:tcPr>
          <w:p w14:paraId="2D0975FF"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 w14:paraId="5EEE9EF7">
      <w:pPr>
        <w:rPr>
          <w:rFonts w:hint="eastAsia"/>
        </w:rPr>
      </w:pPr>
    </w:p>
    <w:p w14:paraId="51D57EC0">
      <w:pPr>
        <w:spacing w:before="40"/>
        <w:ind w:left="178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附表</w:t>
      </w:r>
      <w:r>
        <w:rPr>
          <w:rFonts w:hint="eastAsia" w:ascii="黑体" w:eastAsia="黑体"/>
          <w:sz w:val="28"/>
          <w:lang w:val="en-US" w:eastAsia="zh-CN"/>
        </w:rPr>
        <w:t>4-</w:t>
      </w:r>
      <w:r>
        <w:rPr>
          <w:rFonts w:hint="eastAsia" w:ascii="黑体" w:eastAsia="黑体"/>
          <w:sz w:val="28"/>
        </w:rPr>
        <w:t>2</w:t>
      </w:r>
    </w:p>
    <w:p w14:paraId="2568FF0E">
      <w:pPr>
        <w:pStyle w:val="3"/>
        <w:spacing w:before="3"/>
        <w:jc w:val="center"/>
        <w:rPr>
          <w:rFonts w:hint="eastAsia" w:ascii="黑体" w:hAnsi="黑体" w:eastAsia="黑体" w:cs="黑体"/>
          <w:b/>
          <w:bCs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政法经费保障体制改革</w:t>
      </w:r>
      <w:r>
        <w:rPr>
          <w:rFonts w:hint="eastAsia" w:ascii="黑体" w:hAnsi="黑体" w:eastAsia="黑体" w:cs="黑体"/>
          <w:b/>
          <w:bCs/>
        </w:rPr>
        <w:t>项目绩效评价问题清</w:t>
      </w:r>
      <w:r>
        <w:rPr>
          <w:rFonts w:hint="eastAsia" w:ascii="黑体" w:hAnsi="黑体" w:eastAsia="黑体" w:cs="黑体"/>
          <w:b/>
          <w:bCs/>
          <w:lang w:eastAsia="zh-CN"/>
        </w:rPr>
        <w:t>单</w:t>
      </w:r>
    </w:p>
    <w:tbl>
      <w:tblPr>
        <w:tblStyle w:val="7"/>
        <w:tblW w:w="13957" w:type="dxa"/>
        <w:tblInd w:w="1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1560"/>
        <w:gridCol w:w="1965"/>
        <w:gridCol w:w="3465"/>
        <w:gridCol w:w="3510"/>
        <w:gridCol w:w="1455"/>
      </w:tblGrid>
      <w:tr w14:paraId="30E676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02" w:type="dxa"/>
            <w:noWrap w:val="0"/>
            <w:vAlign w:val="top"/>
          </w:tcPr>
          <w:p w14:paraId="3F61E8DA">
            <w:pPr>
              <w:pStyle w:val="10"/>
              <w:spacing w:before="83"/>
              <w:ind w:left="685"/>
              <w:rPr>
                <w:b/>
                <w:sz w:val="22"/>
              </w:rPr>
            </w:pPr>
            <w:r>
              <w:rPr>
                <w:b/>
                <w:sz w:val="22"/>
              </w:rPr>
              <w:t>问题分类</w:t>
            </w:r>
          </w:p>
        </w:tc>
        <w:tc>
          <w:tcPr>
            <w:tcW w:w="1560" w:type="dxa"/>
            <w:noWrap w:val="0"/>
            <w:vAlign w:val="top"/>
          </w:tcPr>
          <w:p w14:paraId="35CA601B">
            <w:pPr>
              <w:pStyle w:val="10"/>
              <w:spacing w:before="83"/>
              <w:ind w:left="469" w:right="438"/>
              <w:jc w:val="both"/>
              <w:rPr>
                <w:rFonts w:hint="eastAsia" w:eastAsia="宋体"/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66D09821">
            <w:pPr>
              <w:pStyle w:val="10"/>
              <w:spacing w:before="83"/>
              <w:ind w:left="351"/>
              <w:rPr>
                <w:b/>
                <w:sz w:val="22"/>
              </w:rPr>
            </w:pPr>
            <w:r>
              <w:rPr>
                <w:b/>
                <w:sz w:val="22"/>
              </w:rPr>
              <w:t>责任部门（单位）</w:t>
            </w:r>
          </w:p>
        </w:tc>
        <w:tc>
          <w:tcPr>
            <w:tcW w:w="3465" w:type="dxa"/>
            <w:noWrap w:val="0"/>
            <w:vAlign w:val="top"/>
          </w:tcPr>
          <w:p w14:paraId="49E01DA6">
            <w:pPr>
              <w:pStyle w:val="10"/>
              <w:spacing w:before="83"/>
              <w:ind w:left="1248" w:right="12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问题描述</w:t>
            </w:r>
          </w:p>
        </w:tc>
        <w:tc>
          <w:tcPr>
            <w:tcW w:w="3510" w:type="dxa"/>
            <w:noWrap w:val="0"/>
            <w:vAlign w:val="top"/>
          </w:tcPr>
          <w:p w14:paraId="1AE7C278">
            <w:pPr>
              <w:pStyle w:val="10"/>
              <w:spacing w:before="83"/>
              <w:ind w:left="1296" w:right="12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整改建议</w:t>
            </w:r>
          </w:p>
        </w:tc>
        <w:tc>
          <w:tcPr>
            <w:tcW w:w="1455" w:type="dxa"/>
            <w:noWrap w:val="0"/>
            <w:vAlign w:val="top"/>
          </w:tcPr>
          <w:p w14:paraId="2E2ABF92">
            <w:pPr>
              <w:pStyle w:val="10"/>
              <w:spacing w:before="83"/>
              <w:ind w:left="510" w:right="4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 w14:paraId="6F725C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002" w:type="dxa"/>
            <w:tcBorders>
              <w:bottom w:val="nil"/>
            </w:tcBorders>
            <w:noWrap w:val="0"/>
            <w:vAlign w:val="top"/>
          </w:tcPr>
          <w:p w14:paraId="71D5109B">
            <w:pPr>
              <w:pStyle w:val="10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项目决策存在的问题</w:t>
            </w:r>
          </w:p>
        </w:tc>
        <w:tc>
          <w:tcPr>
            <w:tcW w:w="1560" w:type="dxa"/>
            <w:noWrap w:val="0"/>
            <w:vAlign w:val="top"/>
          </w:tcPr>
          <w:p w14:paraId="1E1702AF">
            <w:pPr>
              <w:pStyle w:val="10"/>
              <w:spacing w:before="82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0A21BA75">
            <w:pPr>
              <w:pStyle w:val="10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淮北市司法局</w:t>
            </w:r>
          </w:p>
        </w:tc>
        <w:tc>
          <w:tcPr>
            <w:tcW w:w="3465" w:type="dxa"/>
            <w:noWrap w:val="0"/>
            <w:vAlign w:val="top"/>
          </w:tcPr>
          <w:p w14:paraId="4AB4D60B">
            <w:pPr>
              <w:pStyle w:val="10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3510" w:type="dxa"/>
            <w:noWrap w:val="0"/>
            <w:vAlign w:val="top"/>
          </w:tcPr>
          <w:p w14:paraId="1AE4B5F6">
            <w:pPr>
              <w:pStyle w:val="10"/>
              <w:rPr>
                <w:rFonts w:hint="eastAsia" w:ascii="Times New Roman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1455" w:type="dxa"/>
            <w:noWrap w:val="0"/>
            <w:vAlign w:val="top"/>
          </w:tcPr>
          <w:p w14:paraId="0547C47F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18BA80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002" w:type="dxa"/>
            <w:tcBorders>
              <w:top w:val="nil"/>
              <w:bottom w:val="nil"/>
            </w:tcBorders>
            <w:noWrap w:val="0"/>
            <w:vAlign w:val="top"/>
          </w:tcPr>
          <w:p w14:paraId="29F3DC19">
            <w:pPr>
              <w:pStyle w:val="10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>包括项目立项</w:t>
            </w:r>
            <w:r>
              <w:rPr>
                <w:sz w:val="20"/>
                <w:szCs w:val="20"/>
              </w:rPr>
              <w:t>、绩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 w14:paraId="545C0A4A">
            <w:pPr>
              <w:pStyle w:val="10"/>
              <w:spacing w:before="8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965" w:type="dxa"/>
            <w:vMerge w:val="restart"/>
            <w:noWrap w:val="0"/>
            <w:vAlign w:val="top"/>
          </w:tcPr>
          <w:p w14:paraId="16518BB5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淮北市司法局</w:t>
            </w:r>
          </w:p>
        </w:tc>
        <w:tc>
          <w:tcPr>
            <w:tcW w:w="3465" w:type="dxa"/>
            <w:vMerge w:val="restart"/>
            <w:noWrap w:val="0"/>
            <w:vAlign w:val="top"/>
          </w:tcPr>
          <w:p w14:paraId="1D9A4BF2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3510" w:type="dxa"/>
            <w:vMerge w:val="restart"/>
            <w:noWrap w:val="0"/>
            <w:vAlign w:val="top"/>
          </w:tcPr>
          <w:p w14:paraId="0CCD9971">
            <w:pPr>
              <w:pStyle w:val="10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  <w:p w14:paraId="7DCDCB5E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 w14:paraId="2142BE50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4DB638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02" w:type="dxa"/>
            <w:tcBorders>
              <w:top w:val="nil"/>
              <w:bottom w:val="nil"/>
            </w:tcBorders>
            <w:noWrap w:val="0"/>
            <w:vAlign w:val="top"/>
          </w:tcPr>
          <w:p w14:paraId="1CA548CD">
            <w:pPr>
              <w:pStyle w:val="10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效目标设定、预算编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 w14:paraId="48DF6317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 w14:paraId="2C36DAFA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 w14:paraId="27F7286D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 w14:paraId="4358541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 w14:paraId="08A1631A">
            <w:pPr>
              <w:rPr>
                <w:sz w:val="2"/>
                <w:szCs w:val="2"/>
              </w:rPr>
            </w:pPr>
          </w:p>
        </w:tc>
      </w:tr>
      <w:tr w14:paraId="39A813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02" w:type="dxa"/>
            <w:tcBorders>
              <w:top w:val="nil"/>
            </w:tcBorders>
            <w:noWrap w:val="0"/>
            <w:vAlign w:val="top"/>
          </w:tcPr>
          <w:p w14:paraId="7BADA77F">
            <w:pPr>
              <w:pStyle w:val="10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制和资金分配等）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 w14:paraId="60B5ED99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 w14:paraId="4A0CEEF7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 w14:paraId="54F6CC1D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 w14:paraId="72688C3A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 w14:paraId="7AF13A6F">
            <w:pPr>
              <w:rPr>
                <w:sz w:val="2"/>
                <w:szCs w:val="2"/>
              </w:rPr>
            </w:pPr>
          </w:p>
        </w:tc>
      </w:tr>
      <w:tr w14:paraId="20906A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002" w:type="dxa"/>
            <w:tcBorders>
              <w:bottom w:val="nil"/>
            </w:tcBorders>
            <w:noWrap w:val="0"/>
            <w:vAlign w:val="top"/>
          </w:tcPr>
          <w:p w14:paraId="1FE64F9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资金管理存在的问题</w:t>
            </w:r>
          </w:p>
        </w:tc>
        <w:tc>
          <w:tcPr>
            <w:tcW w:w="1560" w:type="dxa"/>
            <w:noWrap w:val="0"/>
            <w:vAlign w:val="top"/>
          </w:tcPr>
          <w:p w14:paraId="57A50108">
            <w:pPr>
              <w:pStyle w:val="10"/>
              <w:spacing w:before="8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16C29C5B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淮北市司法局</w:t>
            </w:r>
          </w:p>
        </w:tc>
        <w:tc>
          <w:tcPr>
            <w:tcW w:w="3465" w:type="dxa"/>
            <w:noWrap w:val="0"/>
            <w:vAlign w:val="top"/>
          </w:tcPr>
          <w:p w14:paraId="65C279EA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3510" w:type="dxa"/>
            <w:noWrap w:val="0"/>
            <w:vAlign w:val="top"/>
          </w:tcPr>
          <w:p w14:paraId="172834DD">
            <w:pPr>
              <w:pStyle w:val="10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1455" w:type="dxa"/>
            <w:noWrap w:val="0"/>
            <w:vAlign w:val="top"/>
          </w:tcPr>
          <w:p w14:paraId="582C6DA5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7404FD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002" w:type="dxa"/>
            <w:tcBorders>
              <w:top w:val="nil"/>
              <w:bottom w:val="nil"/>
            </w:tcBorders>
            <w:noWrap w:val="0"/>
            <w:vAlign w:val="top"/>
          </w:tcPr>
          <w:p w14:paraId="0A30DA3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（包括资金到位情况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 w14:paraId="461E7739">
            <w:pPr>
              <w:pStyle w:val="10"/>
              <w:spacing w:before="82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965" w:type="dxa"/>
            <w:vMerge w:val="restart"/>
            <w:noWrap w:val="0"/>
            <w:vAlign w:val="top"/>
          </w:tcPr>
          <w:p w14:paraId="51755A3D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淮北市司法局</w:t>
            </w:r>
          </w:p>
        </w:tc>
        <w:tc>
          <w:tcPr>
            <w:tcW w:w="3465" w:type="dxa"/>
            <w:vMerge w:val="restart"/>
            <w:noWrap w:val="0"/>
            <w:vAlign w:val="top"/>
          </w:tcPr>
          <w:p w14:paraId="4B5009AB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3510" w:type="dxa"/>
            <w:vMerge w:val="restart"/>
            <w:noWrap w:val="0"/>
            <w:vAlign w:val="top"/>
          </w:tcPr>
          <w:p w14:paraId="1BCD96A9">
            <w:pPr>
              <w:pStyle w:val="10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  <w:p w14:paraId="6643515C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 w14:paraId="6D12B02C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565B27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002" w:type="dxa"/>
            <w:tcBorders>
              <w:top w:val="nil"/>
              <w:bottom w:val="nil"/>
            </w:tcBorders>
            <w:noWrap w:val="0"/>
            <w:vAlign w:val="top"/>
          </w:tcPr>
          <w:p w14:paraId="547F9E5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、预算执行情况和资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 w14:paraId="24523C30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 w14:paraId="445448F6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 w14:paraId="42D9D4F4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 w14:paraId="19C8E914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 w14:paraId="36A3AD61">
            <w:pPr>
              <w:rPr>
                <w:sz w:val="2"/>
                <w:szCs w:val="2"/>
              </w:rPr>
            </w:pPr>
          </w:p>
        </w:tc>
      </w:tr>
      <w:tr w14:paraId="50312E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002" w:type="dxa"/>
            <w:tcBorders>
              <w:top w:val="nil"/>
            </w:tcBorders>
            <w:noWrap w:val="0"/>
            <w:vAlign w:val="top"/>
          </w:tcPr>
          <w:p w14:paraId="6D185C2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金使用合规性等）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 w14:paraId="4C15DCE5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 w14:paraId="7E388B86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 w14:paraId="31DF97E0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 w14:paraId="4FE5787D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 w14:paraId="2E0D9DF8">
            <w:pPr>
              <w:rPr>
                <w:sz w:val="2"/>
                <w:szCs w:val="2"/>
              </w:rPr>
            </w:pPr>
          </w:p>
        </w:tc>
      </w:tr>
      <w:tr w14:paraId="6F7622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002" w:type="dxa"/>
            <w:tcBorders>
              <w:bottom w:val="nil"/>
            </w:tcBorders>
            <w:noWrap w:val="0"/>
            <w:vAlign w:val="top"/>
          </w:tcPr>
          <w:p w14:paraId="5023930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项目管理存在的问题</w:t>
            </w:r>
          </w:p>
        </w:tc>
        <w:tc>
          <w:tcPr>
            <w:tcW w:w="1560" w:type="dxa"/>
            <w:noWrap w:val="0"/>
            <w:vAlign w:val="top"/>
          </w:tcPr>
          <w:p w14:paraId="5DE866F6">
            <w:pPr>
              <w:pStyle w:val="10"/>
              <w:spacing w:before="8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3C7B9169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淮北市司法局</w:t>
            </w:r>
          </w:p>
        </w:tc>
        <w:tc>
          <w:tcPr>
            <w:tcW w:w="3465" w:type="dxa"/>
            <w:noWrap w:val="0"/>
            <w:vAlign w:val="top"/>
          </w:tcPr>
          <w:p w14:paraId="5CDEF601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3510" w:type="dxa"/>
            <w:noWrap w:val="0"/>
            <w:vAlign w:val="top"/>
          </w:tcPr>
          <w:p w14:paraId="185C8313">
            <w:pPr>
              <w:pStyle w:val="10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1455" w:type="dxa"/>
            <w:noWrap w:val="0"/>
            <w:vAlign w:val="top"/>
          </w:tcPr>
          <w:p w14:paraId="06A577BC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49802F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002" w:type="dxa"/>
            <w:tcBorders>
              <w:top w:val="nil"/>
              <w:bottom w:val="nil"/>
            </w:tcBorders>
            <w:noWrap w:val="0"/>
            <w:vAlign w:val="top"/>
          </w:tcPr>
          <w:p w14:paraId="64C66B1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（包括项目过程管控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 w14:paraId="52E2487E">
            <w:pPr>
              <w:pStyle w:val="10"/>
              <w:spacing w:before="8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965" w:type="dxa"/>
            <w:vMerge w:val="restart"/>
            <w:noWrap w:val="0"/>
            <w:vAlign w:val="top"/>
          </w:tcPr>
          <w:p w14:paraId="43D629B2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淮北市司法局</w:t>
            </w:r>
          </w:p>
        </w:tc>
        <w:tc>
          <w:tcPr>
            <w:tcW w:w="3465" w:type="dxa"/>
            <w:vMerge w:val="restart"/>
            <w:noWrap w:val="0"/>
            <w:vAlign w:val="top"/>
          </w:tcPr>
          <w:p w14:paraId="23C83164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3510" w:type="dxa"/>
            <w:vMerge w:val="restart"/>
            <w:noWrap w:val="0"/>
            <w:vAlign w:val="top"/>
          </w:tcPr>
          <w:p w14:paraId="3448C12C">
            <w:pPr>
              <w:pStyle w:val="10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  <w:p w14:paraId="7CB3887C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 w14:paraId="325E7921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505979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2002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081E2E6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、监督问效、制度建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 w14:paraId="39F89567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 w14:paraId="051FEB04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 w14:paraId="5EEFA6D3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 w14:paraId="67AF6ACA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 w14:paraId="3B40AE47">
            <w:pPr>
              <w:rPr>
                <w:sz w:val="2"/>
                <w:szCs w:val="2"/>
              </w:rPr>
            </w:pPr>
          </w:p>
        </w:tc>
      </w:tr>
      <w:tr w14:paraId="0C26EC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200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F0120B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 w:val="0"/>
            <w:vAlign w:val="top"/>
          </w:tcPr>
          <w:p w14:paraId="552364B6">
            <w:pPr>
              <w:pStyle w:val="10"/>
              <w:spacing w:before="106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…</w:t>
            </w:r>
          </w:p>
        </w:tc>
        <w:tc>
          <w:tcPr>
            <w:tcW w:w="1965" w:type="dxa"/>
            <w:vMerge w:val="restart"/>
            <w:noWrap w:val="0"/>
            <w:vAlign w:val="top"/>
          </w:tcPr>
          <w:p w14:paraId="5540774B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465" w:type="dxa"/>
            <w:vMerge w:val="restart"/>
            <w:noWrap w:val="0"/>
            <w:vAlign w:val="top"/>
          </w:tcPr>
          <w:p w14:paraId="7091F218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510" w:type="dxa"/>
            <w:vMerge w:val="restart"/>
            <w:noWrap w:val="0"/>
            <w:vAlign w:val="top"/>
          </w:tcPr>
          <w:p w14:paraId="5956C8EA">
            <w:pPr>
              <w:pStyle w:val="10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  <w:p w14:paraId="2F601F9A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 w14:paraId="68B86C75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2E7F33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002" w:type="dxa"/>
            <w:tcBorders>
              <w:top w:val="nil"/>
            </w:tcBorders>
            <w:noWrap w:val="0"/>
            <w:vAlign w:val="top"/>
          </w:tcPr>
          <w:p w14:paraId="0716F18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设及执行情况等）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 w14:paraId="7F8B5796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 w14:paraId="3ED58757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 w14:paraId="70DBF6C1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 w14:paraId="6DC6D4F6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 w14:paraId="14DA1AFC">
            <w:pPr>
              <w:rPr>
                <w:sz w:val="2"/>
                <w:szCs w:val="2"/>
              </w:rPr>
            </w:pPr>
          </w:p>
        </w:tc>
      </w:tr>
      <w:tr w14:paraId="01DCCF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002" w:type="dxa"/>
            <w:tcBorders>
              <w:bottom w:val="nil"/>
            </w:tcBorders>
            <w:noWrap w:val="0"/>
            <w:vAlign w:val="top"/>
          </w:tcPr>
          <w:p w14:paraId="7FAB198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项目产出存在的问题</w:t>
            </w:r>
          </w:p>
        </w:tc>
        <w:tc>
          <w:tcPr>
            <w:tcW w:w="1560" w:type="dxa"/>
            <w:noWrap w:val="0"/>
            <w:vAlign w:val="top"/>
          </w:tcPr>
          <w:p w14:paraId="61319E8F">
            <w:pPr>
              <w:pStyle w:val="10"/>
              <w:spacing w:before="8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4077255F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淮北市司法局</w:t>
            </w:r>
          </w:p>
        </w:tc>
        <w:tc>
          <w:tcPr>
            <w:tcW w:w="3465" w:type="dxa"/>
            <w:noWrap w:val="0"/>
            <w:vAlign w:val="top"/>
          </w:tcPr>
          <w:p w14:paraId="191379D4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3510" w:type="dxa"/>
            <w:noWrap w:val="0"/>
            <w:vAlign w:val="top"/>
          </w:tcPr>
          <w:p w14:paraId="5C8B1C0C">
            <w:pPr>
              <w:pStyle w:val="10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1455" w:type="dxa"/>
            <w:noWrap w:val="0"/>
            <w:vAlign w:val="top"/>
          </w:tcPr>
          <w:p w14:paraId="187DFCA3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215243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002" w:type="dxa"/>
            <w:tcBorders>
              <w:top w:val="nil"/>
              <w:bottom w:val="nil"/>
            </w:tcBorders>
            <w:noWrap w:val="0"/>
            <w:vAlign w:val="top"/>
          </w:tcPr>
          <w:p w14:paraId="748A07E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（包括产出数量、产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 w14:paraId="62B40C9A">
            <w:pPr>
              <w:pStyle w:val="10"/>
              <w:spacing w:before="82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965" w:type="dxa"/>
            <w:vMerge w:val="restart"/>
            <w:noWrap w:val="0"/>
            <w:vAlign w:val="top"/>
          </w:tcPr>
          <w:p w14:paraId="412871C2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淮北市司法局</w:t>
            </w:r>
          </w:p>
        </w:tc>
        <w:tc>
          <w:tcPr>
            <w:tcW w:w="3465" w:type="dxa"/>
            <w:vMerge w:val="restart"/>
            <w:noWrap w:val="0"/>
            <w:vAlign w:val="top"/>
          </w:tcPr>
          <w:p w14:paraId="7C74E174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3510" w:type="dxa"/>
            <w:vMerge w:val="restart"/>
            <w:noWrap w:val="0"/>
            <w:vAlign w:val="top"/>
          </w:tcPr>
          <w:p w14:paraId="0CCF2625">
            <w:pPr>
              <w:pStyle w:val="10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  <w:p w14:paraId="40B7B1F6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 w14:paraId="7A804EEE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57170C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02" w:type="dxa"/>
            <w:tcBorders>
              <w:top w:val="nil"/>
              <w:bottom w:val="nil"/>
            </w:tcBorders>
            <w:noWrap w:val="0"/>
            <w:vAlign w:val="top"/>
          </w:tcPr>
          <w:p w14:paraId="1D2B029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出质量、产出时效、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 w14:paraId="7B45B60F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 w14:paraId="41E8BE27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 w14:paraId="5C0CDF8C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 w14:paraId="57297E63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 w14:paraId="5EEEBA78">
            <w:pPr>
              <w:rPr>
                <w:sz w:val="2"/>
                <w:szCs w:val="2"/>
              </w:rPr>
            </w:pPr>
          </w:p>
        </w:tc>
      </w:tr>
      <w:tr w14:paraId="32F253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002" w:type="dxa"/>
            <w:tcBorders>
              <w:top w:val="nil"/>
            </w:tcBorders>
            <w:noWrap w:val="0"/>
            <w:vAlign w:val="top"/>
          </w:tcPr>
          <w:p w14:paraId="22BFEC4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产出成本等）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 w14:paraId="111F9A30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 w14:paraId="4EB261E8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 w14:paraId="7F88BD3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 w14:paraId="0C4B04BC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 w14:paraId="396F009B">
            <w:pPr>
              <w:rPr>
                <w:sz w:val="2"/>
                <w:szCs w:val="2"/>
              </w:rPr>
            </w:pPr>
          </w:p>
        </w:tc>
      </w:tr>
      <w:tr w14:paraId="7E8A59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002" w:type="dxa"/>
            <w:tcBorders>
              <w:bottom w:val="nil"/>
            </w:tcBorders>
            <w:noWrap w:val="0"/>
            <w:vAlign w:val="top"/>
          </w:tcPr>
          <w:p w14:paraId="2C6EDBD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项目效益存在的问题</w:t>
            </w:r>
          </w:p>
        </w:tc>
        <w:tc>
          <w:tcPr>
            <w:tcW w:w="1560" w:type="dxa"/>
            <w:noWrap w:val="0"/>
            <w:vAlign w:val="top"/>
          </w:tcPr>
          <w:p w14:paraId="3F0B00A4">
            <w:pPr>
              <w:pStyle w:val="10"/>
              <w:spacing w:before="8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036E21C5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淮北市司法局</w:t>
            </w:r>
          </w:p>
        </w:tc>
        <w:tc>
          <w:tcPr>
            <w:tcW w:w="3465" w:type="dxa"/>
            <w:noWrap w:val="0"/>
            <w:vAlign w:val="top"/>
          </w:tcPr>
          <w:p w14:paraId="574239A6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3510" w:type="dxa"/>
            <w:noWrap w:val="0"/>
            <w:vAlign w:val="top"/>
          </w:tcPr>
          <w:p w14:paraId="5BA26767">
            <w:pPr>
              <w:pStyle w:val="10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1455" w:type="dxa"/>
            <w:noWrap w:val="0"/>
            <w:vAlign w:val="top"/>
          </w:tcPr>
          <w:p w14:paraId="603ADA65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7B54CF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002" w:type="dxa"/>
            <w:tcBorders>
              <w:top w:val="nil"/>
              <w:bottom w:val="nil"/>
            </w:tcBorders>
            <w:noWrap w:val="0"/>
            <w:vAlign w:val="top"/>
          </w:tcPr>
          <w:p w14:paraId="54B6C81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（包括经济效益、社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 w14:paraId="5BDA0F21">
            <w:pPr>
              <w:pStyle w:val="10"/>
              <w:spacing w:before="8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965" w:type="dxa"/>
            <w:vMerge w:val="restart"/>
            <w:noWrap w:val="0"/>
            <w:vAlign w:val="top"/>
          </w:tcPr>
          <w:p w14:paraId="0B588BE2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淮北市司法局</w:t>
            </w:r>
          </w:p>
        </w:tc>
        <w:tc>
          <w:tcPr>
            <w:tcW w:w="3465" w:type="dxa"/>
            <w:vMerge w:val="restart"/>
            <w:noWrap w:val="0"/>
            <w:vAlign w:val="top"/>
          </w:tcPr>
          <w:p w14:paraId="1A4099E2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3510" w:type="dxa"/>
            <w:vMerge w:val="restart"/>
            <w:noWrap w:val="0"/>
            <w:vAlign w:val="top"/>
          </w:tcPr>
          <w:p w14:paraId="2D814033">
            <w:pPr>
              <w:pStyle w:val="10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  <w:p w14:paraId="3091373B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 w14:paraId="5A910310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764A2B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002" w:type="dxa"/>
            <w:tcBorders>
              <w:top w:val="nil"/>
              <w:bottom w:val="nil"/>
            </w:tcBorders>
            <w:noWrap w:val="0"/>
            <w:vAlign w:val="top"/>
          </w:tcPr>
          <w:p w14:paraId="3FB64B4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会效益、可持续影响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 w14:paraId="6C1C1FE6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 w14:paraId="54C50172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 w14:paraId="526E9720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 w14:paraId="7A2519BA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 w14:paraId="6242B6C0">
            <w:pPr>
              <w:rPr>
                <w:sz w:val="2"/>
                <w:szCs w:val="2"/>
              </w:rPr>
            </w:pPr>
          </w:p>
        </w:tc>
      </w:tr>
      <w:tr w14:paraId="7A7961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002" w:type="dxa"/>
            <w:tcBorders>
              <w:top w:val="nil"/>
            </w:tcBorders>
            <w:noWrap w:val="0"/>
            <w:vAlign w:val="top"/>
          </w:tcPr>
          <w:p w14:paraId="3426DD6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和满意度等）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 w14:paraId="5A3CC79A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  <w:noWrap w:val="0"/>
            <w:vAlign w:val="top"/>
          </w:tcPr>
          <w:p w14:paraId="797A7EC9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 w:val="continue"/>
            <w:tcBorders>
              <w:top w:val="nil"/>
            </w:tcBorders>
            <w:noWrap w:val="0"/>
            <w:vAlign w:val="top"/>
          </w:tcPr>
          <w:p w14:paraId="541873E0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noWrap w:val="0"/>
            <w:vAlign w:val="top"/>
          </w:tcPr>
          <w:p w14:paraId="002BC5C2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 w14:paraId="7197815D">
            <w:pPr>
              <w:rPr>
                <w:sz w:val="2"/>
                <w:szCs w:val="2"/>
              </w:rPr>
            </w:pPr>
          </w:p>
        </w:tc>
      </w:tr>
      <w:tr w14:paraId="2A4D57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2002" w:type="dxa"/>
            <w:vMerge w:val="restart"/>
            <w:noWrap w:val="0"/>
            <w:vAlign w:val="top"/>
          </w:tcPr>
          <w:p w14:paraId="7360132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 w:val="22"/>
              </w:rPr>
            </w:pPr>
          </w:p>
          <w:p w14:paraId="3FB53E5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textAlignment w:val="auto"/>
              <w:rPr>
                <w:b/>
                <w:sz w:val="18"/>
              </w:rPr>
            </w:pPr>
          </w:p>
          <w:p w14:paraId="5D5E0A0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textAlignment w:val="auto"/>
              <w:rPr>
                <w:sz w:val="22"/>
              </w:rPr>
            </w:pPr>
            <w:r>
              <w:rPr>
                <w:sz w:val="20"/>
                <w:szCs w:val="20"/>
              </w:rPr>
              <w:t>其他问题</w:t>
            </w:r>
          </w:p>
        </w:tc>
        <w:tc>
          <w:tcPr>
            <w:tcW w:w="1560" w:type="dxa"/>
            <w:noWrap w:val="0"/>
            <w:vAlign w:val="top"/>
          </w:tcPr>
          <w:p w14:paraId="3D1110B3">
            <w:pPr>
              <w:pStyle w:val="10"/>
              <w:spacing w:before="82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2C26AA37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淮北市司法局</w:t>
            </w:r>
          </w:p>
        </w:tc>
        <w:tc>
          <w:tcPr>
            <w:tcW w:w="3465" w:type="dxa"/>
            <w:noWrap w:val="0"/>
            <w:vAlign w:val="top"/>
          </w:tcPr>
          <w:p w14:paraId="6B8E78D7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3510" w:type="dxa"/>
            <w:noWrap w:val="0"/>
            <w:vAlign w:val="top"/>
          </w:tcPr>
          <w:p w14:paraId="078E8DFC">
            <w:pPr>
              <w:pStyle w:val="10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1455" w:type="dxa"/>
            <w:noWrap w:val="0"/>
            <w:vAlign w:val="top"/>
          </w:tcPr>
          <w:p w14:paraId="41A7222D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6AB9D8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002" w:type="dxa"/>
            <w:vMerge w:val="continue"/>
            <w:tcBorders>
              <w:top w:val="nil"/>
            </w:tcBorders>
            <w:noWrap w:val="0"/>
            <w:vAlign w:val="top"/>
          </w:tcPr>
          <w:p w14:paraId="6F05192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noWrap w:val="0"/>
            <w:vAlign w:val="top"/>
          </w:tcPr>
          <w:p w14:paraId="637FABA3">
            <w:pPr>
              <w:pStyle w:val="10"/>
              <w:spacing w:before="8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965" w:type="dxa"/>
            <w:noWrap w:val="0"/>
            <w:vAlign w:val="top"/>
          </w:tcPr>
          <w:p w14:paraId="15A1F2D6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淮北市司法局</w:t>
            </w:r>
          </w:p>
        </w:tc>
        <w:tc>
          <w:tcPr>
            <w:tcW w:w="3465" w:type="dxa"/>
            <w:noWrap w:val="0"/>
            <w:vAlign w:val="top"/>
          </w:tcPr>
          <w:p w14:paraId="19828042">
            <w:pPr>
              <w:pStyle w:val="10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3510" w:type="dxa"/>
            <w:noWrap w:val="0"/>
            <w:vAlign w:val="top"/>
          </w:tcPr>
          <w:p w14:paraId="66AE0FF4">
            <w:pPr>
              <w:pStyle w:val="10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无</w:t>
            </w:r>
          </w:p>
        </w:tc>
        <w:tc>
          <w:tcPr>
            <w:tcW w:w="1455" w:type="dxa"/>
            <w:noWrap w:val="0"/>
            <w:vAlign w:val="top"/>
          </w:tcPr>
          <w:p w14:paraId="2A9F7612"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 w14:paraId="3E58CF75">
      <w:pPr>
        <w:rPr>
          <w:rFonts w:hint="eastAsia"/>
        </w:rPr>
      </w:pPr>
    </w:p>
    <w:p w14:paraId="0B32764E">
      <w:pPr>
        <w:pStyle w:val="4"/>
        <w:rPr>
          <w:rFonts w:hint="eastAsia"/>
        </w:rPr>
      </w:pPr>
    </w:p>
    <w:p w14:paraId="34D8B7BC">
      <w:pPr>
        <w:rPr>
          <w:rFonts w:hint="eastAsia"/>
        </w:rPr>
      </w:pPr>
    </w:p>
    <w:p w14:paraId="4A2C69B8">
      <w:pPr>
        <w:pStyle w:val="4"/>
        <w:rPr>
          <w:rFonts w:hint="eastAsia"/>
        </w:rPr>
      </w:pPr>
    </w:p>
    <w:p w14:paraId="23085BF7">
      <w:pPr>
        <w:rPr>
          <w:rFonts w:hint="eastAsia"/>
        </w:rPr>
      </w:pPr>
    </w:p>
    <w:p w14:paraId="5DAABB0E">
      <w:pPr>
        <w:pStyle w:val="4"/>
        <w:rPr>
          <w:rFonts w:hint="eastAsia"/>
        </w:rPr>
      </w:pPr>
    </w:p>
    <w:p w14:paraId="01470C21">
      <w:pPr>
        <w:rPr>
          <w:rFonts w:hint="eastAsia"/>
        </w:rPr>
      </w:pPr>
    </w:p>
    <w:p w14:paraId="3D63F451">
      <w:pPr>
        <w:pStyle w:val="4"/>
        <w:rPr>
          <w:rFonts w:hint="eastAsia"/>
        </w:rPr>
      </w:pPr>
    </w:p>
    <w:p w14:paraId="0DAFDED3">
      <w:pPr>
        <w:rPr>
          <w:rFonts w:hint="eastAsia"/>
        </w:rPr>
      </w:pPr>
    </w:p>
    <w:p w14:paraId="7ED455AC">
      <w:pPr>
        <w:pStyle w:val="4"/>
        <w:rPr>
          <w:rFonts w:hint="eastAsia"/>
        </w:rPr>
      </w:pPr>
    </w:p>
    <w:p w14:paraId="218A7D09">
      <w:pPr>
        <w:rPr>
          <w:rFonts w:hint="eastAsia"/>
        </w:rPr>
      </w:pPr>
    </w:p>
    <w:p w14:paraId="4116643D">
      <w:pPr>
        <w:pStyle w:val="4"/>
        <w:rPr>
          <w:rFonts w:hint="eastAsia"/>
        </w:rPr>
      </w:pPr>
    </w:p>
    <w:p w14:paraId="1E3F3505">
      <w:pPr>
        <w:rPr>
          <w:rFonts w:hint="eastAsia"/>
        </w:rPr>
      </w:pPr>
    </w:p>
    <w:p w14:paraId="4CC18033">
      <w:pPr>
        <w:pStyle w:val="4"/>
        <w:rPr>
          <w:rFonts w:hint="eastAsia"/>
        </w:rPr>
      </w:pPr>
    </w:p>
    <w:p w14:paraId="669DD691">
      <w:pPr>
        <w:rPr>
          <w:rFonts w:hint="eastAsia"/>
        </w:rPr>
      </w:pPr>
    </w:p>
    <w:p w14:paraId="5A0B4FD7">
      <w:pPr>
        <w:spacing w:before="43"/>
        <w:ind w:left="454" w:right="0" w:firstLine="0"/>
        <w:jc w:val="left"/>
        <w:rPr>
          <w:rFonts w:ascii="黑体"/>
          <w:sz w:val="31"/>
        </w:rPr>
      </w:pPr>
      <w:r>
        <w:rPr>
          <w:rFonts w:hint="eastAsia" w:ascii="黑体" w:eastAsia="黑体"/>
          <w:sz w:val="28"/>
        </w:rPr>
        <w:t>附表</w:t>
      </w:r>
      <w:r>
        <w:rPr>
          <w:rFonts w:hint="eastAsia" w:ascii="黑体" w:eastAsia="黑体"/>
          <w:sz w:val="28"/>
          <w:lang w:val="en-US" w:eastAsia="zh-CN"/>
        </w:rPr>
        <w:t>4-</w:t>
      </w:r>
      <w:r>
        <w:rPr>
          <w:rFonts w:hint="eastAsia" w:ascii="黑体" w:eastAsia="黑体"/>
          <w:sz w:val="28"/>
        </w:rPr>
        <w:t>3</w:t>
      </w:r>
    </w:p>
    <w:p w14:paraId="279B06C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413" w:lineRule="auto"/>
        <w:ind w:left="0"/>
        <w:jc w:val="center"/>
        <w:textAlignment w:val="auto"/>
        <w:rPr>
          <w:rFonts w:ascii="宋体"/>
          <w:b/>
          <w:sz w:val="28"/>
        </w:rPr>
      </w:pPr>
      <w:r>
        <w:rPr>
          <w:rFonts w:hint="eastAsia" w:ascii="黑体" w:hAnsi="黑体" w:eastAsia="黑体" w:cs="黑体"/>
          <w:lang w:val="en-US" w:eastAsia="zh-CN"/>
        </w:rPr>
        <w:t>政法经费保障体制改革</w:t>
      </w:r>
      <w:r>
        <w:t>项目绩效评价评分情况表</w:t>
      </w:r>
    </w:p>
    <w:tbl>
      <w:tblPr>
        <w:tblStyle w:val="7"/>
        <w:tblW w:w="13972" w:type="dxa"/>
        <w:tblInd w:w="4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173"/>
        <w:gridCol w:w="1199"/>
        <w:gridCol w:w="1132"/>
        <w:gridCol w:w="1199"/>
        <w:gridCol w:w="6498"/>
        <w:gridCol w:w="992"/>
        <w:gridCol w:w="992"/>
      </w:tblGrid>
      <w:tr w14:paraId="38A91C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87" w:type="dxa"/>
            <w:noWrap w:val="0"/>
            <w:vAlign w:val="top"/>
          </w:tcPr>
          <w:p w14:paraId="2EED15C8">
            <w:pPr>
              <w:pStyle w:val="10"/>
              <w:spacing w:before="10"/>
              <w:rPr>
                <w:b/>
                <w:sz w:val="16"/>
              </w:rPr>
            </w:pPr>
          </w:p>
          <w:p w14:paraId="38CD618B">
            <w:pPr>
              <w:pStyle w:val="10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173" w:type="dxa"/>
            <w:noWrap w:val="0"/>
            <w:vAlign w:val="top"/>
          </w:tcPr>
          <w:p w14:paraId="62A9B9C9">
            <w:pPr>
              <w:pStyle w:val="10"/>
              <w:spacing w:before="89" w:line="230" w:lineRule="auto"/>
              <w:ind w:left="371" w:right="336"/>
              <w:rPr>
                <w:b/>
                <w:sz w:val="22"/>
              </w:rPr>
            </w:pPr>
            <w:r>
              <w:rPr>
                <w:b/>
                <w:sz w:val="22"/>
              </w:rPr>
              <w:t>一级指标</w:t>
            </w:r>
          </w:p>
        </w:tc>
        <w:tc>
          <w:tcPr>
            <w:tcW w:w="1199" w:type="dxa"/>
            <w:noWrap w:val="0"/>
            <w:vAlign w:val="top"/>
          </w:tcPr>
          <w:p w14:paraId="354393AE">
            <w:pPr>
              <w:pStyle w:val="10"/>
              <w:spacing w:before="89" w:line="230" w:lineRule="auto"/>
              <w:ind w:left="386" w:right="347"/>
              <w:rPr>
                <w:b/>
                <w:sz w:val="22"/>
              </w:rPr>
            </w:pPr>
            <w:r>
              <w:rPr>
                <w:b/>
                <w:sz w:val="22"/>
              </w:rPr>
              <w:t>二级指标</w:t>
            </w:r>
          </w:p>
        </w:tc>
        <w:tc>
          <w:tcPr>
            <w:tcW w:w="1132" w:type="dxa"/>
            <w:noWrap w:val="0"/>
            <w:vAlign w:val="top"/>
          </w:tcPr>
          <w:p w14:paraId="10551D73">
            <w:pPr>
              <w:pStyle w:val="10"/>
              <w:spacing w:before="89" w:line="230" w:lineRule="auto"/>
              <w:ind w:left="351" w:right="315"/>
              <w:rPr>
                <w:b/>
                <w:sz w:val="22"/>
              </w:rPr>
            </w:pPr>
            <w:r>
              <w:rPr>
                <w:b/>
                <w:sz w:val="22"/>
              </w:rPr>
              <w:t>三级指标</w:t>
            </w:r>
          </w:p>
        </w:tc>
        <w:tc>
          <w:tcPr>
            <w:tcW w:w="1199" w:type="dxa"/>
            <w:noWrap w:val="0"/>
            <w:vAlign w:val="top"/>
          </w:tcPr>
          <w:p w14:paraId="18E86DAD">
            <w:pPr>
              <w:pStyle w:val="10"/>
              <w:spacing w:before="10"/>
              <w:rPr>
                <w:b/>
                <w:sz w:val="16"/>
              </w:rPr>
            </w:pPr>
          </w:p>
          <w:p w14:paraId="71E33597">
            <w:pPr>
              <w:pStyle w:val="10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标准分值</w:t>
            </w:r>
          </w:p>
        </w:tc>
        <w:tc>
          <w:tcPr>
            <w:tcW w:w="6498" w:type="dxa"/>
            <w:noWrap w:val="0"/>
            <w:vAlign w:val="top"/>
          </w:tcPr>
          <w:p w14:paraId="6C4B4D8D">
            <w:pPr>
              <w:pStyle w:val="10"/>
              <w:spacing w:before="10"/>
              <w:rPr>
                <w:b/>
                <w:sz w:val="16"/>
              </w:rPr>
            </w:pPr>
          </w:p>
          <w:p w14:paraId="3EF2B8D1">
            <w:pPr>
              <w:pStyle w:val="10"/>
              <w:ind w:left="2796" w:right="27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评分情况</w:t>
            </w:r>
          </w:p>
        </w:tc>
        <w:tc>
          <w:tcPr>
            <w:tcW w:w="992" w:type="dxa"/>
            <w:noWrap w:val="0"/>
            <w:vAlign w:val="top"/>
          </w:tcPr>
          <w:p w14:paraId="24AD4E44">
            <w:pPr>
              <w:pStyle w:val="10"/>
              <w:spacing w:before="10"/>
              <w:rPr>
                <w:b/>
                <w:sz w:val="16"/>
              </w:rPr>
            </w:pPr>
          </w:p>
          <w:p w14:paraId="4CACBF6D">
            <w:pPr>
              <w:pStyle w:val="10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得分</w:t>
            </w:r>
          </w:p>
        </w:tc>
        <w:tc>
          <w:tcPr>
            <w:tcW w:w="992" w:type="dxa"/>
            <w:noWrap w:val="0"/>
            <w:vAlign w:val="top"/>
          </w:tcPr>
          <w:p w14:paraId="5DF59232">
            <w:pPr>
              <w:pStyle w:val="10"/>
              <w:spacing w:before="10"/>
              <w:rPr>
                <w:b/>
                <w:sz w:val="16"/>
              </w:rPr>
            </w:pPr>
          </w:p>
          <w:p w14:paraId="546D411C">
            <w:pPr>
              <w:pStyle w:val="10"/>
              <w:ind w:left="289"/>
              <w:rPr>
                <w:b/>
                <w:sz w:val="22"/>
              </w:rPr>
            </w:pPr>
            <w:r>
              <w:rPr>
                <w:b/>
                <w:sz w:val="22"/>
              </w:rPr>
              <w:t>扣分</w:t>
            </w:r>
          </w:p>
        </w:tc>
      </w:tr>
      <w:tr w14:paraId="27DE93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87" w:type="dxa"/>
            <w:noWrap w:val="0"/>
            <w:vAlign w:val="center"/>
          </w:tcPr>
          <w:p w14:paraId="2C25E536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noWrap w:val="0"/>
            <w:vAlign w:val="center"/>
          </w:tcPr>
          <w:p w14:paraId="5FE367A2">
            <w:pPr>
              <w:pStyle w:val="1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99" w:type="dxa"/>
            <w:noWrap w:val="0"/>
            <w:vAlign w:val="center"/>
          </w:tcPr>
          <w:p w14:paraId="476A01D7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32" w:type="dxa"/>
            <w:noWrap w:val="0"/>
            <w:vAlign w:val="top"/>
          </w:tcPr>
          <w:p w14:paraId="5AEA5FBA">
            <w:pPr>
              <w:pStyle w:val="10"/>
              <w:spacing w:before="8"/>
              <w:jc w:val="left"/>
              <w:rPr>
                <w:b/>
                <w:sz w:val="14"/>
              </w:rPr>
            </w:pPr>
          </w:p>
          <w:p w14:paraId="6FFA20CF">
            <w:pPr>
              <w:pStyle w:val="10"/>
              <w:ind w:left="37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制定装备配备规划和年度实施计划数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&gt;=1</w:t>
            </w:r>
          </w:p>
        </w:tc>
        <w:tc>
          <w:tcPr>
            <w:tcW w:w="1199" w:type="dxa"/>
            <w:noWrap w:val="0"/>
            <w:vAlign w:val="center"/>
          </w:tcPr>
          <w:p w14:paraId="1972B901">
            <w:pPr>
              <w:pStyle w:val="1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498" w:type="dxa"/>
            <w:noWrap w:val="0"/>
            <w:vAlign w:val="center"/>
          </w:tcPr>
          <w:p w14:paraId="2543FFF3">
            <w:pPr>
              <w:pStyle w:val="1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达到预期目标</w:t>
            </w:r>
          </w:p>
        </w:tc>
        <w:tc>
          <w:tcPr>
            <w:tcW w:w="992" w:type="dxa"/>
            <w:noWrap w:val="0"/>
            <w:vAlign w:val="center"/>
          </w:tcPr>
          <w:p w14:paraId="2D2FCB77">
            <w:pPr>
              <w:pStyle w:val="10"/>
              <w:jc w:val="center"/>
              <w:rPr>
                <w:rFonts w:ascii="Times New Roman"/>
                <w:sz w:val="2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noWrap w:val="0"/>
            <w:vAlign w:val="center"/>
          </w:tcPr>
          <w:p w14:paraId="55418593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 w14:paraId="3E52C8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7" w:type="dxa"/>
            <w:noWrap w:val="0"/>
            <w:vAlign w:val="center"/>
          </w:tcPr>
          <w:p w14:paraId="279DA682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noWrap w:val="0"/>
            <w:vAlign w:val="center"/>
          </w:tcPr>
          <w:p w14:paraId="125FC914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99" w:type="dxa"/>
            <w:noWrap w:val="0"/>
            <w:vAlign w:val="center"/>
          </w:tcPr>
          <w:p w14:paraId="63A4BA27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32" w:type="dxa"/>
            <w:noWrap w:val="0"/>
            <w:vAlign w:val="top"/>
          </w:tcPr>
          <w:p w14:paraId="74D61625">
            <w:pPr>
              <w:pStyle w:val="1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市局开展装备财务检查</w:t>
            </w:r>
          </w:p>
        </w:tc>
        <w:tc>
          <w:tcPr>
            <w:tcW w:w="1199" w:type="dxa"/>
            <w:noWrap w:val="0"/>
            <w:vAlign w:val="center"/>
          </w:tcPr>
          <w:p w14:paraId="3B0CE1CF">
            <w:pPr>
              <w:pStyle w:val="1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498" w:type="dxa"/>
            <w:noWrap w:val="0"/>
            <w:vAlign w:val="center"/>
          </w:tcPr>
          <w:p w14:paraId="348C364F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达到预期目标</w:t>
            </w:r>
          </w:p>
        </w:tc>
        <w:tc>
          <w:tcPr>
            <w:tcW w:w="992" w:type="dxa"/>
            <w:noWrap w:val="0"/>
            <w:vAlign w:val="center"/>
          </w:tcPr>
          <w:p w14:paraId="0C2D6B12">
            <w:pPr>
              <w:pStyle w:val="10"/>
              <w:jc w:val="center"/>
              <w:rPr>
                <w:rFonts w:ascii="Times New Roman"/>
                <w:sz w:val="2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noWrap w:val="0"/>
            <w:vAlign w:val="center"/>
          </w:tcPr>
          <w:p w14:paraId="4BF168CA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 w14:paraId="5CDAF1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87" w:type="dxa"/>
            <w:noWrap w:val="0"/>
            <w:vAlign w:val="center"/>
          </w:tcPr>
          <w:p w14:paraId="68CF9B93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noWrap w:val="0"/>
            <w:vAlign w:val="center"/>
          </w:tcPr>
          <w:p w14:paraId="4141B6BC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99" w:type="dxa"/>
            <w:noWrap w:val="0"/>
            <w:vAlign w:val="center"/>
          </w:tcPr>
          <w:p w14:paraId="7CE525D3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32" w:type="dxa"/>
            <w:noWrap w:val="0"/>
            <w:vAlign w:val="top"/>
          </w:tcPr>
          <w:p w14:paraId="360DA292">
            <w:pPr>
              <w:pStyle w:val="1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业务（案件）办理及时性</w:t>
            </w:r>
          </w:p>
        </w:tc>
        <w:tc>
          <w:tcPr>
            <w:tcW w:w="1199" w:type="dxa"/>
            <w:noWrap w:val="0"/>
            <w:vAlign w:val="center"/>
          </w:tcPr>
          <w:p w14:paraId="07CDD60B">
            <w:pPr>
              <w:pStyle w:val="1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498" w:type="dxa"/>
            <w:noWrap w:val="0"/>
            <w:vAlign w:val="center"/>
          </w:tcPr>
          <w:p w14:paraId="6C6FF7F1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达到预期目标</w:t>
            </w:r>
          </w:p>
        </w:tc>
        <w:tc>
          <w:tcPr>
            <w:tcW w:w="992" w:type="dxa"/>
            <w:noWrap w:val="0"/>
            <w:vAlign w:val="center"/>
          </w:tcPr>
          <w:p w14:paraId="65BDF14A">
            <w:pPr>
              <w:pStyle w:val="10"/>
              <w:jc w:val="center"/>
              <w:rPr>
                <w:rFonts w:ascii="Times New Roman"/>
                <w:sz w:val="2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 w14:paraId="7E8F8CAB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 w14:paraId="0D72FE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87" w:type="dxa"/>
            <w:noWrap w:val="0"/>
            <w:vAlign w:val="center"/>
          </w:tcPr>
          <w:p w14:paraId="24B191FE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noWrap w:val="0"/>
            <w:vAlign w:val="center"/>
          </w:tcPr>
          <w:p w14:paraId="37BF50F6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99" w:type="dxa"/>
            <w:noWrap w:val="0"/>
            <w:vAlign w:val="center"/>
          </w:tcPr>
          <w:p w14:paraId="37ECBBD8">
            <w:pPr>
              <w:pStyle w:val="1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32" w:type="dxa"/>
            <w:noWrap w:val="0"/>
            <w:vAlign w:val="top"/>
          </w:tcPr>
          <w:p w14:paraId="42300D26">
            <w:pPr>
              <w:pStyle w:val="1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项目支出严格控制，不大于预算</w:t>
            </w:r>
          </w:p>
        </w:tc>
        <w:tc>
          <w:tcPr>
            <w:tcW w:w="1199" w:type="dxa"/>
            <w:noWrap w:val="0"/>
            <w:vAlign w:val="center"/>
          </w:tcPr>
          <w:p w14:paraId="1CAD19ED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498" w:type="dxa"/>
            <w:noWrap w:val="0"/>
            <w:vAlign w:val="center"/>
          </w:tcPr>
          <w:p w14:paraId="2146357D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达到预期目标</w:t>
            </w:r>
          </w:p>
        </w:tc>
        <w:tc>
          <w:tcPr>
            <w:tcW w:w="992" w:type="dxa"/>
            <w:noWrap w:val="0"/>
            <w:vAlign w:val="center"/>
          </w:tcPr>
          <w:p w14:paraId="35791A06">
            <w:pPr>
              <w:pStyle w:val="10"/>
              <w:jc w:val="center"/>
              <w:rPr>
                <w:rFonts w:ascii="Times New Roman"/>
                <w:sz w:val="2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 w14:paraId="0971C85F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 w14:paraId="2600A2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87" w:type="dxa"/>
            <w:noWrap w:val="0"/>
            <w:vAlign w:val="center"/>
          </w:tcPr>
          <w:p w14:paraId="517776CD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noWrap w:val="0"/>
            <w:vAlign w:val="center"/>
          </w:tcPr>
          <w:p w14:paraId="3E9380B1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99" w:type="dxa"/>
            <w:noWrap w:val="0"/>
            <w:vAlign w:val="center"/>
          </w:tcPr>
          <w:p w14:paraId="6B350F17">
            <w:pPr>
              <w:pStyle w:val="1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132" w:type="dxa"/>
            <w:noWrap w:val="0"/>
            <w:vAlign w:val="center"/>
          </w:tcPr>
          <w:p w14:paraId="2FECD177">
            <w:pPr>
              <w:pStyle w:val="1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促进司法公正</w:t>
            </w:r>
          </w:p>
        </w:tc>
        <w:tc>
          <w:tcPr>
            <w:tcW w:w="1199" w:type="dxa"/>
            <w:noWrap w:val="0"/>
            <w:vAlign w:val="center"/>
          </w:tcPr>
          <w:p w14:paraId="7EA82765">
            <w:pPr>
              <w:pStyle w:val="1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498" w:type="dxa"/>
            <w:noWrap w:val="0"/>
            <w:vAlign w:val="center"/>
          </w:tcPr>
          <w:p w14:paraId="4B87E4E6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达到预期目标</w:t>
            </w:r>
          </w:p>
        </w:tc>
        <w:tc>
          <w:tcPr>
            <w:tcW w:w="992" w:type="dxa"/>
            <w:noWrap w:val="0"/>
            <w:vAlign w:val="center"/>
          </w:tcPr>
          <w:p w14:paraId="2ECD1327">
            <w:pPr>
              <w:pStyle w:val="10"/>
              <w:jc w:val="center"/>
              <w:rPr>
                <w:rFonts w:ascii="Times New Roman"/>
                <w:sz w:val="2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noWrap w:val="0"/>
            <w:vAlign w:val="center"/>
          </w:tcPr>
          <w:p w14:paraId="4DA2A1C7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 w14:paraId="07313E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87" w:type="dxa"/>
            <w:noWrap w:val="0"/>
            <w:vAlign w:val="center"/>
          </w:tcPr>
          <w:p w14:paraId="391D94C0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noWrap w:val="0"/>
            <w:vAlign w:val="center"/>
          </w:tcPr>
          <w:p w14:paraId="363839CC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99" w:type="dxa"/>
            <w:noWrap w:val="0"/>
            <w:vAlign w:val="center"/>
          </w:tcPr>
          <w:p w14:paraId="3E2C7C9B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132" w:type="dxa"/>
            <w:noWrap w:val="0"/>
            <w:vAlign w:val="center"/>
          </w:tcPr>
          <w:p w14:paraId="2CCE160B">
            <w:pPr>
              <w:pStyle w:val="1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的积极影响程度较高</w:t>
            </w:r>
          </w:p>
        </w:tc>
        <w:tc>
          <w:tcPr>
            <w:tcW w:w="1199" w:type="dxa"/>
            <w:noWrap w:val="0"/>
            <w:vAlign w:val="center"/>
          </w:tcPr>
          <w:p w14:paraId="6BD1D347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498" w:type="dxa"/>
            <w:noWrap w:val="0"/>
            <w:vAlign w:val="center"/>
          </w:tcPr>
          <w:p w14:paraId="7ADB835B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达到预期目标</w:t>
            </w:r>
          </w:p>
        </w:tc>
        <w:tc>
          <w:tcPr>
            <w:tcW w:w="992" w:type="dxa"/>
            <w:noWrap w:val="0"/>
            <w:vAlign w:val="center"/>
          </w:tcPr>
          <w:p w14:paraId="65775B27">
            <w:pPr>
              <w:pStyle w:val="10"/>
              <w:jc w:val="center"/>
              <w:rPr>
                <w:rFonts w:ascii="Times New Roman"/>
                <w:sz w:val="2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 w14:paraId="01464A6D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 w14:paraId="7FA350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87" w:type="dxa"/>
            <w:noWrap w:val="0"/>
            <w:vAlign w:val="center"/>
          </w:tcPr>
          <w:p w14:paraId="7F49573C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noWrap w:val="0"/>
            <w:vAlign w:val="center"/>
          </w:tcPr>
          <w:p w14:paraId="01368F21">
            <w:pPr>
              <w:pStyle w:val="1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199" w:type="dxa"/>
            <w:noWrap w:val="0"/>
            <w:vAlign w:val="center"/>
          </w:tcPr>
          <w:p w14:paraId="0001E882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132" w:type="dxa"/>
            <w:noWrap w:val="0"/>
            <w:vAlign w:val="center"/>
          </w:tcPr>
          <w:p w14:paraId="570F97B5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</w:t>
            </w:r>
          </w:p>
        </w:tc>
        <w:tc>
          <w:tcPr>
            <w:tcW w:w="1199" w:type="dxa"/>
            <w:noWrap w:val="0"/>
            <w:vAlign w:val="center"/>
          </w:tcPr>
          <w:p w14:paraId="4A8FFD10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498" w:type="dxa"/>
            <w:noWrap w:val="0"/>
            <w:vAlign w:val="center"/>
          </w:tcPr>
          <w:p w14:paraId="083E1364">
            <w:pPr>
              <w:pStyle w:val="1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达到预期目标</w:t>
            </w:r>
          </w:p>
        </w:tc>
        <w:tc>
          <w:tcPr>
            <w:tcW w:w="992" w:type="dxa"/>
            <w:noWrap w:val="0"/>
            <w:vAlign w:val="center"/>
          </w:tcPr>
          <w:p w14:paraId="171F8C0B">
            <w:pPr>
              <w:pStyle w:val="10"/>
              <w:jc w:val="center"/>
              <w:rPr>
                <w:rFonts w:ascii="Times New Roman"/>
                <w:sz w:val="2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 w14:paraId="231D3C6C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 w14:paraId="005E03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291" w:type="dxa"/>
            <w:gridSpan w:val="4"/>
            <w:noWrap w:val="0"/>
            <w:vAlign w:val="center"/>
          </w:tcPr>
          <w:p w14:paraId="788E5712">
            <w:pPr>
              <w:pStyle w:val="10"/>
              <w:ind w:left="1914" w:right="18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1199" w:type="dxa"/>
            <w:noWrap w:val="0"/>
            <w:vAlign w:val="center"/>
          </w:tcPr>
          <w:p w14:paraId="1070608E">
            <w:pPr>
              <w:pStyle w:val="10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100</w:t>
            </w:r>
          </w:p>
        </w:tc>
        <w:tc>
          <w:tcPr>
            <w:tcW w:w="6498" w:type="dxa"/>
            <w:noWrap w:val="0"/>
            <w:vAlign w:val="center"/>
          </w:tcPr>
          <w:p w14:paraId="52A88AA9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954C337">
            <w:pPr>
              <w:pStyle w:val="10"/>
              <w:jc w:val="center"/>
              <w:rPr>
                <w:rFonts w:ascii="Times New Roman"/>
                <w:sz w:val="26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100</w:t>
            </w:r>
          </w:p>
        </w:tc>
        <w:tc>
          <w:tcPr>
            <w:tcW w:w="992" w:type="dxa"/>
            <w:noWrap w:val="0"/>
            <w:vAlign w:val="center"/>
          </w:tcPr>
          <w:p w14:paraId="04024A50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</w:tbl>
    <w:p w14:paraId="44A91EC9">
      <w:pPr>
        <w:rPr>
          <w:rFonts w:hint="eastAsia"/>
        </w:rPr>
      </w:pPr>
    </w:p>
    <w:p w14:paraId="55057720"/>
    <w:sectPr>
      <w:type w:val="continuous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1DC5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4F68D2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704F68D2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C778B"/>
    <w:multiLevelType w:val="singleLevel"/>
    <w:tmpl w:val="9D2C778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66" w:hanging="327"/>
        <w:jc w:val="left"/>
      </w:pPr>
      <w:rPr>
        <w:rFonts w:hint="default" w:ascii="仿宋_GB2312" w:hAnsi="仿宋_GB2312" w:eastAsia="仿宋_GB2312" w:cs="仿宋_GB2312"/>
        <w:spacing w:val="1"/>
        <w:w w:val="99"/>
        <w:sz w:val="30"/>
        <w:szCs w:val="30"/>
        <w:lang w:val="zh-CN" w:eastAsia="zh-CN" w:bidi="zh-CN"/>
      </w:rPr>
    </w:lvl>
    <w:lvl w:ilvl="1" w:tentative="0">
      <w:start w:val="2"/>
      <w:numFmt w:val="decimal"/>
      <w:lvlText w:val="%2."/>
      <w:lvlJc w:val="left"/>
      <w:pPr>
        <w:ind w:left="1714" w:hanging="322"/>
        <w:jc w:val="lef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80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3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86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39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9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46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9" w:hanging="322"/>
      </w:pPr>
      <w:rPr>
        <w:rFonts w:hint="default"/>
        <w:lang w:val="zh-CN" w:eastAsia="zh-CN" w:bidi="zh-CN"/>
      </w:rPr>
    </w:lvl>
  </w:abstractNum>
  <w:abstractNum w:abstractNumId="2">
    <w:nsid w:val="D57E9B97"/>
    <w:multiLevelType w:val="singleLevel"/>
    <w:tmpl w:val="D57E9B9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453007C"/>
    <w:multiLevelType w:val="singleLevel"/>
    <w:tmpl w:val="7453007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DQzMzQ1Y2ZhNzJlNGEzMWRkZGUxYzdmNjhmY2YifQ=="/>
  </w:docVars>
  <w:rsids>
    <w:rsidRoot w:val="7B526312"/>
    <w:rsid w:val="7B52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Body Text Indent 2"/>
    <w:basedOn w:val="1"/>
    <w:next w:val="1"/>
    <w:qFormat/>
    <w:uiPriority w:val="99"/>
    <w:pPr>
      <w:ind w:firstLine="640" w:firstLineChars="200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2"/>
      <w:lang w:val="en-US" w:eastAsia="zh-CN" w:bidi="ar"/>
    </w:rPr>
  </w:style>
  <w:style w:type="paragraph" w:styleId="9">
    <w:name w:val="List Paragraph"/>
    <w:basedOn w:val="1"/>
    <w:autoRedefine/>
    <w:qFormat/>
    <w:uiPriority w:val="1"/>
    <w:pPr>
      <w:ind w:left="266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2024-09-25T08:57:00Z</dcterms:created>
  <dc:creator>伟</dc:creator>
  <cp:lastModifiedBy>伟</cp:lastModifiedBy>
  <dcterms:modified xsi:type="dcterms:W3CDTF">2024-09-25T08:58:33Z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BD61E5165DF9407A93E6A71293A839EF_11</vt:lpwstr>
  </property>
</Properties>
</file>