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B8EE0" w14:textId="77777777" w:rsidR="0040049C" w:rsidRDefault="0040049C">
      <w:pPr>
        <w:rPr>
          <w:rFonts w:ascii="仿宋_GB2312" w:eastAsia="仿宋_GB2312" w:hAnsi="仿宋_GB2312" w:cs="仿宋_GB2312" w:hint="eastAsia"/>
        </w:rPr>
      </w:pPr>
    </w:p>
    <w:p w14:paraId="0A5E3F06" w14:textId="77777777" w:rsidR="0040049C" w:rsidRDefault="0040049C">
      <w:pPr>
        <w:rPr>
          <w:rFonts w:ascii="仿宋_GB2312" w:eastAsia="仿宋_GB2312" w:hAnsi="仿宋_GB2312" w:cs="仿宋_GB2312" w:hint="eastAsia"/>
        </w:rPr>
      </w:pPr>
    </w:p>
    <w:p w14:paraId="704A362E" w14:textId="77777777" w:rsidR="0040049C" w:rsidRDefault="0040049C">
      <w:pPr>
        <w:rPr>
          <w:rFonts w:ascii="仿宋_GB2312" w:eastAsia="仿宋_GB2312" w:hAnsi="仿宋_GB2312" w:cs="仿宋_GB2312" w:hint="eastAsia"/>
        </w:rPr>
      </w:pPr>
    </w:p>
    <w:p w14:paraId="6A0D6610" w14:textId="77777777" w:rsidR="0040049C" w:rsidRDefault="00000000">
      <w:pPr>
        <w:adjustRightInd w:val="0"/>
        <w:snapToGrid w:val="0"/>
        <w:spacing w:line="360" w:lineRule="auto"/>
        <w:jc w:val="center"/>
        <w:rPr>
          <w:rFonts w:ascii="华文中宋" w:eastAsia="华文中宋" w:hAnsi="华文中宋" w:cs="华文中宋" w:hint="eastAsia"/>
          <w:b/>
          <w:sz w:val="52"/>
          <w:szCs w:val="84"/>
        </w:rPr>
      </w:pPr>
      <w:r>
        <w:rPr>
          <w:rFonts w:ascii="华文中宋" w:eastAsia="华文中宋" w:hAnsi="华文中宋" w:cs="华文中宋" w:hint="eastAsia"/>
          <w:b/>
          <w:sz w:val="52"/>
          <w:szCs w:val="84"/>
        </w:rPr>
        <w:t>淮北仲裁委员会秘书处</w:t>
      </w:r>
    </w:p>
    <w:p w14:paraId="1F116E9F" w14:textId="77777777" w:rsidR="0040049C" w:rsidRDefault="00000000">
      <w:pPr>
        <w:adjustRightInd w:val="0"/>
        <w:snapToGrid w:val="0"/>
        <w:spacing w:line="360" w:lineRule="auto"/>
        <w:jc w:val="center"/>
        <w:rPr>
          <w:rFonts w:ascii="华文中宋" w:eastAsia="华文中宋" w:hAnsi="华文中宋" w:cs="华文中宋" w:hint="eastAsia"/>
          <w:b/>
          <w:sz w:val="52"/>
          <w:szCs w:val="84"/>
        </w:rPr>
      </w:pPr>
      <w:r>
        <w:rPr>
          <w:rFonts w:ascii="华文中宋" w:eastAsia="华文中宋" w:hAnsi="华文中宋" w:cs="华文中宋" w:hint="eastAsia"/>
          <w:b/>
          <w:sz w:val="52"/>
          <w:szCs w:val="84"/>
        </w:rPr>
        <w:t>2023年预算</w:t>
      </w:r>
    </w:p>
    <w:p w14:paraId="7ACD986F" w14:textId="77777777" w:rsidR="0040049C" w:rsidRDefault="0040049C">
      <w:pPr>
        <w:adjustRightInd w:val="0"/>
        <w:snapToGrid w:val="0"/>
        <w:spacing w:line="360" w:lineRule="auto"/>
        <w:jc w:val="center"/>
        <w:rPr>
          <w:rFonts w:ascii="华文中宋" w:eastAsia="华文中宋" w:hAnsi="华文中宋" w:cs="华文中宋" w:hint="eastAsia"/>
          <w:b/>
          <w:sz w:val="52"/>
          <w:szCs w:val="84"/>
        </w:rPr>
      </w:pPr>
    </w:p>
    <w:p w14:paraId="3C5DCFE3" w14:textId="77777777" w:rsidR="0040049C" w:rsidRDefault="0040049C">
      <w:pPr>
        <w:adjustRightInd w:val="0"/>
        <w:snapToGrid w:val="0"/>
        <w:spacing w:line="360" w:lineRule="auto"/>
        <w:jc w:val="center"/>
        <w:rPr>
          <w:rFonts w:ascii="华文中宋" w:eastAsia="华文中宋" w:hAnsi="华文中宋" w:cs="华文中宋" w:hint="eastAsia"/>
          <w:b/>
          <w:sz w:val="52"/>
          <w:szCs w:val="84"/>
        </w:rPr>
      </w:pPr>
    </w:p>
    <w:p w14:paraId="75FD1127" w14:textId="77777777" w:rsidR="0040049C" w:rsidRDefault="0040049C">
      <w:pPr>
        <w:adjustRightInd w:val="0"/>
        <w:snapToGrid w:val="0"/>
        <w:spacing w:line="360" w:lineRule="auto"/>
        <w:jc w:val="center"/>
        <w:rPr>
          <w:rFonts w:ascii="华文中宋" w:eastAsia="华文中宋" w:hAnsi="华文中宋" w:cs="华文中宋" w:hint="eastAsia"/>
          <w:b/>
          <w:sz w:val="52"/>
          <w:szCs w:val="84"/>
        </w:rPr>
      </w:pPr>
    </w:p>
    <w:p w14:paraId="0887EF45" w14:textId="77777777" w:rsidR="0040049C" w:rsidRDefault="0040049C">
      <w:pPr>
        <w:adjustRightInd w:val="0"/>
        <w:snapToGrid w:val="0"/>
        <w:spacing w:line="360" w:lineRule="auto"/>
        <w:jc w:val="center"/>
        <w:rPr>
          <w:rFonts w:ascii="华文中宋" w:eastAsia="华文中宋" w:hAnsi="华文中宋" w:cs="华文中宋" w:hint="eastAsia"/>
          <w:b/>
          <w:sz w:val="52"/>
          <w:szCs w:val="84"/>
        </w:rPr>
      </w:pPr>
    </w:p>
    <w:p w14:paraId="61F2E555" w14:textId="77777777" w:rsidR="0040049C" w:rsidRDefault="0040049C">
      <w:pPr>
        <w:adjustRightInd w:val="0"/>
        <w:snapToGrid w:val="0"/>
        <w:spacing w:line="360" w:lineRule="auto"/>
        <w:jc w:val="center"/>
        <w:rPr>
          <w:rFonts w:ascii="华文中宋" w:eastAsia="华文中宋" w:hAnsi="华文中宋" w:cs="华文中宋" w:hint="eastAsia"/>
          <w:b/>
          <w:sz w:val="52"/>
          <w:szCs w:val="84"/>
        </w:rPr>
      </w:pPr>
    </w:p>
    <w:p w14:paraId="3E54E1B8" w14:textId="77777777" w:rsidR="0040049C" w:rsidRDefault="0040049C">
      <w:pPr>
        <w:adjustRightInd w:val="0"/>
        <w:snapToGrid w:val="0"/>
        <w:spacing w:line="360" w:lineRule="auto"/>
        <w:jc w:val="center"/>
        <w:rPr>
          <w:rFonts w:ascii="华文中宋" w:eastAsia="华文中宋" w:hAnsi="华文中宋" w:cs="华文中宋" w:hint="eastAsia"/>
          <w:b/>
          <w:sz w:val="52"/>
          <w:szCs w:val="84"/>
        </w:rPr>
      </w:pPr>
    </w:p>
    <w:p w14:paraId="596422A3" w14:textId="77777777" w:rsidR="0040049C" w:rsidRDefault="0040049C">
      <w:pPr>
        <w:adjustRightInd w:val="0"/>
        <w:snapToGrid w:val="0"/>
        <w:spacing w:line="360" w:lineRule="auto"/>
        <w:jc w:val="center"/>
        <w:rPr>
          <w:rFonts w:ascii="华文中宋" w:eastAsia="华文中宋" w:hAnsi="华文中宋" w:cs="华文中宋" w:hint="eastAsia"/>
          <w:b/>
          <w:sz w:val="52"/>
          <w:szCs w:val="84"/>
        </w:rPr>
      </w:pPr>
    </w:p>
    <w:p w14:paraId="7191BC66" w14:textId="77777777" w:rsidR="0040049C" w:rsidRDefault="00000000">
      <w:pPr>
        <w:pStyle w:val="a4"/>
        <w:adjustRightInd w:val="0"/>
        <w:snapToGrid w:val="0"/>
        <w:spacing w:before="0" w:beforeAutospacing="0" w:after="0" w:afterAutospacing="0" w:line="360" w:lineRule="auto"/>
        <w:jc w:val="center"/>
        <w:rPr>
          <w:rFonts w:ascii="黑体" w:eastAsia="黑体" w:hAnsi="黑体" w:hint="eastAsia"/>
          <w:bCs/>
          <w:sz w:val="36"/>
          <w:szCs w:val="36"/>
        </w:rPr>
      </w:pPr>
      <w:r>
        <w:rPr>
          <w:rFonts w:ascii="黑体" w:eastAsia="黑体" w:hAnsi="黑体" w:hint="eastAsia"/>
          <w:bCs/>
          <w:sz w:val="36"/>
          <w:szCs w:val="36"/>
        </w:rPr>
        <w:t>2023年2月</w:t>
      </w:r>
    </w:p>
    <w:p w14:paraId="2EEA5109" w14:textId="77777777" w:rsidR="0040049C" w:rsidRDefault="0040049C">
      <w:pPr>
        <w:rPr>
          <w:rFonts w:ascii="仿宋_GB2312" w:eastAsia="仿宋_GB2312" w:hAnsi="仿宋_GB2312" w:cs="仿宋_GB2312" w:hint="eastAsia"/>
        </w:rPr>
      </w:pPr>
    </w:p>
    <w:p w14:paraId="6E338AD4" w14:textId="77777777" w:rsidR="0040049C" w:rsidRDefault="00000000">
      <w:pPr>
        <w:pStyle w:val="a4"/>
        <w:adjustRightInd w:val="0"/>
        <w:snapToGrid w:val="0"/>
        <w:spacing w:line="560" w:lineRule="exact"/>
        <w:jc w:val="center"/>
        <w:rPr>
          <w:rFonts w:ascii="仿宋_GB2312" w:eastAsia="仿宋_GB2312" w:hAnsi="仿宋_GB2312" w:cs="仿宋_GB2312" w:hint="eastAsia"/>
          <w:bCs/>
          <w:sz w:val="44"/>
          <w:szCs w:val="44"/>
        </w:rPr>
      </w:pPr>
      <w:r>
        <w:rPr>
          <w:rFonts w:ascii="仿宋_GB2312" w:eastAsia="仿宋_GB2312" w:hAnsi="仿宋_GB2312" w:cs="仿宋_GB2312" w:hint="eastAsia"/>
          <w:bCs/>
          <w:sz w:val="44"/>
          <w:szCs w:val="44"/>
        </w:rPr>
        <w:lastRenderedPageBreak/>
        <w:t>目  录</w:t>
      </w:r>
    </w:p>
    <w:p w14:paraId="4A61C892" w14:textId="77777777" w:rsidR="0040049C" w:rsidRDefault="0040049C">
      <w:pPr>
        <w:rPr>
          <w:rFonts w:ascii="仿宋_GB2312" w:eastAsia="仿宋_GB2312" w:hAnsi="仿宋_GB2312" w:cs="仿宋_GB2312" w:hint="eastAsia"/>
        </w:rPr>
      </w:pPr>
    </w:p>
    <w:p w14:paraId="24587610" w14:textId="0B515D45" w:rsidR="0040049C" w:rsidRDefault="00000000">
      <w:pPr>
        <w:pStyle w:val="a4"/>
        <w:adjustRightInd w:val="0"/>
        <w:snapToGrid w:val="0"/>
        <w:spacing w:line="40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第一部分 单位概况</w:t>
      </w:r>
    </w:p>
    <w:p w14:paraId="70B6024D"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1、主要职责</w:t>
      </w:r>
    </w:p>
    <w:p w14:paraId="1183308C" w14:textId="42A9515C"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w:t>
      </w:r>
      <w:r w:rsidR="007E5DDB">
        <w:rPr>
          <w:rFonts w:ascii="仿宋_GB2312" w:eastAsia="仿宋_GB2312" w:hAnsi="仿宋_GB2312" w:cs="仿宋_GB2312" w:hint="eastAsia"/>
          <w:bCs/>
          <w:sz w:val="32"/>
          <w:szCs w:val="32"/>
        </w:rPr>
        <w:t>单位</w:t>
      </w:r>
      <w:r>
        <w:rPr>
          <w:rFonts w:ascii="仿宋_GB2312" w:eastAsia="仿宋_GB2312" w:hAnsi="仿宋_GB2312" w:cs="仿宋_GB2312" w:hint="eastAsia"/>
          <w:bCs/>
          <w:sz w:val="32"/>
          <w:szCs w:val="32"/>
        </w:rPr>
        <w:t>预算构成</w:t>
      </w:r>
    </w:p>
    <w:p w14:paraId="70EA25FA"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 、2023年度主要工作任务</w:t>
      </w:r>
    </w:p>
    <w:p w14:paraId="61BFCDB9" w14:textId="77777777" w:rsidR="0040049C" w:rsidRDefault="00000000">
      <w:pPr>
        <w:pStyle w:val="a4"/>
        <w:adjustRightInd w:val="0"/>
        <w:snapToGrid w:val="0"/>
        <w:spacing w:line="40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第二部分 淮北仲裁委员会秘书处预算表</w:t>
      </w:r>
    </w:p>
    <w:p w14:paraId="16440D3F"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1、淮北仲裁委员会秘书处2023年收支总表</w:t>
      </w:r>
    </w:p>
    <w:p w14:paraId="4BBCF7F6"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2、淮北仲裁委员会秘书处2023年收入总表</w:t>
      </w:r>
    </w:p>
    <w:p w14:paraId="2B817C8C"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3、淮北仲裁委员会秘书处2023年支出总表</w:t>
      </w:r>
    </w:p>
    <w:p w14:paraId="2193DB15"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4、淮北仲裁委员会秘书处2023年财政拨款收支总表</w:t>
      </w:r>
    </w:p>
    <w:p w14:paraId="40486E66"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5、淮北仲裁委员会秘书处2023年一般公共预算支出表</w:t>
      </w:r>
    </w:p>
    <w:p w14:paraId="35C01A9E"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6、淮北仲裁委员会秘书处2023年一般公共预算基本支出表</w:t>
      </w:r>
    </w:p>
    <w:p w14:paraId="25C9F7E4"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7、淮北仲裁委员会秘书处2023年政府性基金预算支出表</w:t>
      </w:r>
    </w:p>
    <w:p w14:paraId="5037AD29"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8、淮北仲裁委员会秘书处2023年国有资本经营预算支出表</w:t>
      </w:r>
    </w:p>
    <w:p w14:paraId="02FAD4BE"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9、淮北仲裁委员会秘书处2023年项目支出表</w:t>
      </w:r>
    </w:p>
    <w:p w14:paraId="6BC01E24"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10、淮北仲裁委员会秘书处2023年政府采购支出表</w:t>
      </w:r>
    </w:p>
    <w:p w14:paraId="44512FDC"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11、淮北仲裁委员会秘书处2023年政府购买服务支出表</w:t>
      </w:r>
    </w:p>
    <w:p w14:paraId="79A5E129" w14:textId="77777777" w:rsidR="0040049C" w:rsidRDefault="00000000">
      <w:pPr>
        <w:pStyle w:val="a4"/>
        <w:adjustRightInd w:val="0"/>
        <w:snapToGrid w:val="0"/>
        <w:spacing w:line="40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第三部分 淮北仲裁委员会秘书处预算情况说明</w:t>
      </w:r>
    </w:p>
    <w:p w14:paraId="6BBBE4B8"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lastRenderedPageBreak/>
        <w:t>1、关于2023年收支总表的说明</w:t>
      </w:r>
    </w:p>
    <w:p w14:paraId="22424661"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2、关于2023年收入总表的说明</w:t>
      </w:r>
    </w:p>
    <w:p w14:paraId="6392C17E"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3、关于2023年支出总表的说明</w:t>
      </w:r>
    </w:p>
    <w:p w14:paraId="1015D8D7"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4、关于2023年财政拨款收支总表的说明</w:t>
      </w:r>
    </w:p>
    <w:p w14:paraId="312C7052"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5、关于2023年一般公共预算支出表的说明</w:t>
      </w:r>
    </w:p>
    <w:p w14:paraId="10DDC6D2"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6、关于2023年一般公共预算基本支出表的说明</w:t>
      </w:r>
    </w:p>
    <w:p w14:paraId="27210F47"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7、关于2023年政府性基金预算支出表的说明</w:t>
      </w:r>
    </w:p>
    <w:p w14:paraId="3A53D7FB"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8、关于2023年国有资本经营预算支出表的说明</w:t>
      </w:r>
    </w:p>
    <w:p w14:paraId="3D919312"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9、关于2023年项目支出表的说明</w:t>
      </w:r>
    </w:p>
    <w:p w14:paraId="14C4000B"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10、关于2023年政府采购支出表的说明</w:t>
      </w:r>
    </w:p>
    <w:p w14:paraId="3E426C0E"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11、关于2023年政府购买服务支出表的说明</w:t>
      </w:r>
    </w:p>
    <w:p w14:paraId="1538288F"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12、其他重要事项情况说明</w:t>
      </w:r>
    </w:p>
    <w:p w14:paraId="2678B6C4" w14:textId="77777777" w:rsidR="0040049C" w:rsidRDefault="00000000">
      <w:pPr>
        <w:pStyle w:val="a4"/>
        <w:adjustRightInd w:val="0"/>
        <w:snapToGrid w:val="0"/>
        <w:spacing w:line="40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第四部分 名词解释</w:t>
      </w:r>
    </w:p>
    <w:p w14:paraId="00083541" w14:textId="77777777" w:rsidR="0040049C" w:rsidRDefault="00000000">
      <w:pPr>
        <w:pStyle w:val="a4"/>
        <w:adjustRightInd w:val="0"/>
        <w:snapToGrid w:val="0"/>
        <w:spacing w:line="40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第五部分 其它公开事项</w:t>
      </w:r>
    </w:p>
    <w:p w14:paraId="55EFACFE"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1、淮北仲裁委员会秘书处2023年部门预算纳入绩效考评项目表</w:t>
      </w:r>
    </w:p>
    <w:p w14:paraId="66CC76D2" w14:textId="77777777" w:rsidR="0040049C" w:rsidRDefault="00000000">
      <w:pPr>
        <w:pStyle w:val="a4"/>
        <w:adjustRightInd w:val="0"/>
        <w:snapToGrid w:val="0"/>
        <w:spacing w:line="400" w:lineRule="exact"/>
        <w:ind w:firstLineChars="250" w:firstLine="80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2、淮北仲裁委员会秘书处2023年部门预算专项资金管理清单（专栏公开）</w:t>
      </w:r>
    </w:p>
    <w:p w14:paraId="4CF74901" w14:textId="77777777" w:rsidR="0040049C" w:rsidRDefault="0040049C">
      <w:pPr>
        <w:pStyle w:val="a4"/>
        <w:adjustRightInd w:val="0"/>
        <w:snapToGrid w:val="0"/>
        <w:spacing w:line="400" w:lineRule="exact"/>
        <w:ind w:firstLineChars="250" w:firstLine="800"/>
        <w:rPr>
          <w:rFonts w:ascii="仿宋_GB2312" w:eastAsia="仿宋_GB2312" w:hAnsi="仿宋_GB2312" w:cs="仿宋_GB2312" w:hint="eastAsia"/>
          <w:bCs/>
          <w:sz w:val="32"/>
          <w:szCs w:val="32"/>
        </w:rPr>
      </w:pPr>
    </w:p>
    <w:p w14:paraId="45B888B9" w14:textId="77777777" w:rsidR="0040049C" w:rsidRDefault="0040049C">
      <w:pPr>
        <w:pStyle w:val="a4"/>
        <w:adjustRightInd w:val="0"/>
        <w:snapToGrid w:val="0"/>
        <w:spacing w:line="400" w:lineRule="exact"/>
        <w:ind w:firstLineChars="250" w:firstLine="800"/>
        <w:rPr>
          <w:rFonts w:ascii="仿宋_GB2312" w:eastAsia="仿宋_GB2312" w:hAnsi="仿宋_GB2312" w:cs="仿宋_GB2312" w:hint="eastAsia"/>
          <w:bCs/>
          <w:sz w:val="32"/>
          <w:szCs w:val="32"/>
        </w:rPr>
      </w:pPr>
    </w:p>
    <w:p w14:paraId="72C5F78F" w14:textId="77777777" w:rsidR="0040049C" w:rsidRDefault="0040049C" w:rsidP="007E5DDB">
      <w:pPr>
        <w:pStyle w:val="a4"/>
        <w:adjustRightInd w:val="0"/>
        <w:snapToGrid w:val="0"/>
        <w:spacing w:line="400" w:lineRule="exact"/>
        <w:rPr>
          <w:rFonts w:ascii="仿宋_GB2312" w:eastAsia="仿宋_GB2312" w:hAnsi="仿宋_GB2312" w:cs="仿宋_GB2312" w:hint="eastAsia"/>
          <w:bCs/>
          <w:sz w:val="32"/>
          <w:szCs w:val="32"/>
        </w:rPr>
      </w:pPr>
    </w:p>
    <w:p w14:paraId="2FB72F26" w14:textId="6063B1A0" w:rsidR="0040049C" w:rsidRDefault="00000000">
      <w:pPr>
        <w:pStyle w:val="a4"/>
        <w:adjustRightInd w:val="0"/>
        <w:snapToGrid w:val="0"/>
        <w:spacing w:line="560" w:lineRule="exact"/>
        <w:jc w:val="center"/>
        <w:rPr>
          <w:rFonts w:ascii="黑体" w:eastAsia="黑体" w:hAnsi="黑体" w:cs="黑体" w:hint="eastAsia"/>
          <w:bCs/>
          <w:sz w:val="36"/>
          <w:szCs w:val="36"/>
        </w:rPr>
      </w:pPr>
      <w:r>
        <w:rPr>
          <w:rFonts w:ascii="黑体" w:eastAsia="黑体" w:hAnsi="黑体" w:cs="黑体" w:hint="eastAsia"/>
          <w:bCs/>
          <w:sz w:val="36"/>
          <w:szCs w:val="36"/>
        </w:rPr>
        <w:lastRenderedPageBreak/>
        <w:t>第一部分 单位概况</w:t>
      </w:r>
    </w:p>
    <w:p w14:paraId="21988492" w14:textId="77777777" w:rsidR="0040049C" w:rsidRDefault="0040049C">
      <w:pPr>
        <w:rPr>
          <w:rFonts w:ascii="仿宋_GB2312" w:eastAsia="仿宋_GB2312" w:hAnsi="仿宋_GB2312" w:cs="仿宋_GB2312" w:hint="eastAsia"/>
        </w:rPr>
      </w:pPr>
    </w:p>
    <w:p w14:paraId="73229E9E" w14:textId="77777777" w:rsidR="0040049C" w:rsidRDefault="00000000">
      <w:pPr>
        <w:pStyle w:val="a4"/>
        <w:adjustRightInd w:val="0"/>
        <w:snapToGrid w:val="0"/>
        <w:spacing w:before="0" w:beforeAutospacing="0" w:after="0" w:afterAutospacing="0" w:line="360" w:lineRule="auto"/>
        <w:ind w:firstLineChars="196" w:firstLine="627"/>
        <w:jc w:val="both"/>
        <w:rPr>
          <w:rFonts w:hint="eastAsia"/>
        </w:rPr>
      </w:pPr>
      <w:r>
        <w:rPr>
          <w:rFonts w:ascii="黑体" w:eastAsia="黑体" w:hAnsi="黑体" w:hint="eastAsia"/>
          <w:bCs/>
          <w:sz w:val="32"/>
          <w:szCs w:val="32"/>
        </w:rPr>
        <w:t>一、主要职责</w:t>
      </w:r>
    </w:p>
    <w:p w14:paraId="122BFB7A" w14:textId="77777777" w:rsidR="0040049C" w:rsidRPr="0036578D" w:rsidRDefault="00000000">
      <w:pPr>
        <w:ind w:firstLineChars="100" w:firstLine="320"/>
        <w:rPr>
          <w:rFonts w:ascii="仿宋_GB2312" w:eastAsia="仿宋_GB2312" w:hAnsi="仿宋" w:cs="宋体" w:hint="eastAsia"/>
          <w:kern w:val="0"/>
          <w:sz w:val="32"/>
          <w:szCs w:val="32"/>
        </w:rPr>
      </w:pPr>
      <w:r w:rsidRPr="0036578D">
        <w:rPr>
          <w:rFonts w:ascii="仿宋_GB2312" w:eastAsia="仿宋_GB2312" w:hAnsi="仿宋" w:cs="宋体" w:hint="eastAsia"/>
          <w:kern w:val="0"/>
          <w:sz w:val="32"/>
          <w:szCs w:val="32"/>
        </w:rPr>
        <w:t>（一）贯彻执行《中华人民共和国仲裁法》，推行仲裁法律制度，拟订淮北市仲裁工作发展规划并组织实施；</w:t>
      </w:r>
    </w:p>
    <w:p w14:paraId="3C5B3656" w14:textId="77777777" w:rsidR="0040049C" w:rsidRPr="0036578D" w:rsidRDefault="00000000">
      <w:pPr>
        <w:ind w:firstLineChars="100" w:firstLine="320"/>
        <w:rPr>
          <w:rFonts w:ascii="仿宋_GB2312" w:eastAsia="仿宋_GB2312" w:hAnsi="仿宋" w:cs="宋体" w:hint="eastAsia"/>
          <w:kern w:val="0"/>
          <w:sz w:val="32"/>
          <w:szCs w:val="32"/>
        </w:rPr>
      </w:pPr>
      <w:r w:rsidRPr="0036578D">
        <w:rPr>
          <w:rFonts w:ascii="仿宋_GB2312" w:eastAsia="仿宋_GB2312" w:hAnsi="仿宋" w:cs="宋体" w:hint="eastAsia"/>
          <w:kern w:val="0"/>
          <w:sz w:val="32"/>
          <w:szCs w:val="32"/>
        </w:rPr>
        <w:t xml:space="preserve">（二）负责仲裁案件受理、文书送达、档案管理等工作；     </w:t>
      </w:r>
    </w:p>
    <w:p w14:paraId="124051DE" w14:textId="77777777" w:rsidR="0040049C" w:rsidRPr="0036578D" w:rsidRDefault="00000000">
      <w:pPr>
        <w:ind w:firstLineChars="100" w:firstLine="320"/>
        <w:rPr>
          <w:rFonts w:ascii="仿宋_GB2312" w:eastAsia="仿宋_GB2312" w:hAnsi="仿宋" w:cs="宋体" w:hint="eastAsia"/>
          <w:kern w:val="0"/>
          <w:sz w:val="32"/>
          <w:szCs w:val="32"/>
        </w:rPr>
      </w:pPr>
      <w:r w:rsidRPr="0036578D">
        <w:rPr>
          <w:rFonts w:ascii="仿宋_GB2312" w:eastAsia="仿宋_GB2312" w:hAnsi="仿宋" w:cs="宋体" w:hint="eastAsia"/>
          <w:kern w:val="0"/>
          <w:sz w:val="32"/>
          <w:szCs w:val="32"/>
        </w:rPr>
        <w:t>（三）负责仲裁费用核算与收取；</w:t>
      </w:r>
    </w:p>
    <w:p w14:paraId="48917635" w14:textId="77777777" w:rsidR="0040049C" w:rsidRPr="0036578D" w:rsidRDefault="00000000">
      <w:pPr>
        <w:ind w:firstLineChars="100" w:firstLine="320"/>
        <w:rPr>
          <w:rFonts w:ascii="仿宋_GB2312" w:eastAsia="仿宋_GB2312" w:hAnsi="仿宋" w:cs="宋体" w:hint="eastAsia"/>
          <w:kern w:val="0"/>
          <w:sz w:val="32"/>
          <w:szCs w:val="32"/>
        </w:rPr>
      </w:pPr>
      <w:r w:rsidRPr="0036578D">
        <w:rPr>
          <w:rFonts w:ascii="仿宋_GB2312" w:eastAsia="仿宋_GB2312" w:hAnsi="仿宋" w:cs="宋体" w:hint="eastAsia"/>
          <w:kern w:val="0"/>
          <w:sz w:val="32"/>
          <w:szCs w:val="32"/>
        </w:rPr>
        <w:t>（四）负责组织、协调仲裁庭的案件审理工作；</w:t>
      </w:r>
    </w:p>
    <w:p w14:paraId="0F70B0D0" w14:textId="77777777" w:rsidR="0040049C" w:rsidRPr="0036578D" w:rsidRDefault="00000000">
      <w:pPr>
        <w:ind w:firstLineChars="100" w:firstLine="320"/>
        <w:rPr>
          <w:rFonts w:ascii="仿宋_GB2312" w:eastAsia="仿宋_GB2312" w:hAnsi="仿宋" w:cs="宋体" w:hint="eastAsia"/>
          <w:kern w:val="0"/>
          <w:sz w:val="32"/>
          <w:szCs w:val="32"/>
        </w:rPr>
      </w:pPr>
      <w:r w:rsidRPr="0036578D">
        <w:rPr>
          <w:rFonts w:ascii="仿宋_GB2312" w:eastAsia="仿宋_GB2312" w:hAnsi="仿宋" w:cs="宋体" w:hint="eastAsia"/>
          <w:kern w:val="0"/>
          <w:sz w:val="32"/>
          <w:szCs w:val="32"/>
        </w:rPr>
        <w:t>（五）负责仲裁员的管理、培训工作；</w:t>
      </w:r>
    </w:p>
    <w:p w14:paraId="713BE211" w14:textId="77777777" w:rsidR="0040049C" w:rsidRPr="0036578D" w:rsidRDefault="00000000">
      <w:pPr>
        <w:ind w:firstLineChars="100" w:firstLine="320"/>
        <w:rPr>
          <w:rFonts w:ascii="仿宋_GB2312" w:eastAsia="仿宋_GB2312" w:hAnsi="仿宋" w:cs="宋体" w:hint="eastAsia"/>
          <w:kern w:val="0"/>
          <w:sz w:val="32"/>
          <w:szCs w:val="32"/>
        </w:rPr>
      </w:pPr>
      <w:r w:rsidRPr="0036578D">
        <w:rPr>
          <w:rFonts w:ascii="仿宋_GB2312" w:eastAsia="仿宋_GB2312" w:hAnsi="仿宋" w:cs="宋体" w:hint="eastAsia"/>
          <w:kern w:val="0"/>
          <w:sz w:val="32"/>
          <w:szCs w:val="32"/>
        </w:rPr>
        <w:t>（六）负责仲裁员信息库的建立、联络工作；</w:t>
      </w:r>
    </w:p>
    <w:p w14:paraId="215CA375" w14:textId="77777777" w:rsidR="0040049C" w:rsidRPr="0036578D" w:rsidRDefault="00000000">
      <w:pPr>
        <w:ind w:firstLineChars="100" w:firstLine="320"/>
        <w:rPr>
          <w:rFonts w:ascii="仿宋_GB2312" w:eastAsia="仿宋_GB2312" w:hAnsi="仿宋" w:cs="宋体"/>
          <w:kern w:val="0"/>
          <w:sz w:val="32"/>
          <w:szCs w:val="32"/>
        </w:rPr>
      </w:pPr>
      <w:r w:rsidRPr="0036578D">
        <w:rPr>
          <w:rFonts w:ascii="仿宋_GB2312" w:eastAsia="仿宋_GB2312" w:hAnsi="仿宋" w:cs="宋体" w:hint="eastAsia"/>
          <w:kern w:val="0"/>
          <w:sz w:val="32"/>
          <w:szCs w:val="32"/>
        </w:rPr>
        <w:t>（七）承办淮北仲裁委员会交办的其他</w:t>
      </w:r>
      <w:r w:rsidRPr="0036578D">
        <w:rPr>
          <w:rFonts w:ascii="仿宋_GB2312" w:eastAsia="仿宋_GB2312" w:hAnsi="仿宋" w:cs="宋体"/>
          <w:kern w:val="0"/>
          <w:sz w:val="32"/>
          <w:szCs w:val="32"/>
        </w:rPr>
        <w:t>事项。</w:t>
      </w:r>
    </w:p>
    <w:p w14:paraId="79F78DF3" w14:textId="77777777" w:rsidR="0040049C" w:rsidRDefault="00000000">
      <w:pPr>
        <w:widowControl/>
        <w:numPr>
          <w:ilvl w:val="0"/>
          <w:numId w:val="1"/>
        </w:numPr>
        <w:adjustRightInd w:val="0"/>
        <w:snapToGrid w:val="0"/>
        <w:spacing w:line="360" w:lineRule="auto"/>
        <w:ind w:firstLineChars="196" w:firstLine="627"/>
        <w:rPr>
          <w:rFonts w:ascii="黑体" w:eastAsia="黑体" w:hAnsi="黑体" w:cs="宋体" w:hint="eastAsia"/>
          <w:bCs/>
          <w:kern w:val="0"/>
          <w:sz w:val="32"/>
          <w:szCs w:val="32"/>
        </w:rPr>
      </w:pPr>
      <w:r>
        <w:rPr>
          <w:rFonts w:ascii="黑体" w:eastAsia="黑体" w:hAnsi="黑体" w:cs="宋体" w:hint="eastAsia"/>
          <w:bCs/>
          <w:kern w:val="0"/>
          <w:sz w:val="32"/>
          <w:szCs w:val="32"/>
        </w:rPr>
        <w:t>部门预算构成</w:t>
      </w:r>
    </w:p>
    <w:p w14:paraId="290DAA4D" w14:textId="77777777" w:rsidR="0040049C" w:rsidRDefault="00000000">
      <w:pPr>
        <w:pStyle w:val="a4"/>
        <w:adjustRightInd w:val="0"/>
        <w:snapToGrid w:val="0"/>
        <w:spacing w:before="0" w:beforeAutospacing="0" w:after="0" w:afterAutospacing="0" w:line="360" w:lineRule="auto"/>
        <w:ind w:firstLineChars="196" w:firstLine="627"/>
        <w:jc w:val="both"/>
        <w:rPr>
          <w:rFonts w:ascii="仿宋_GB2312" w:eastAsia="仿宋_GB2312" w:hAnsi="仿宋" w:hint="eastAsia"/>
          <w:sz w:val="32"/>
          <w:szCs w:val="32"/>
        </w:rPr>
      </w:pPr>
      <w:r>
        <w:rPr>
          <w:rFonts w:ascii="仿宋_GB2312" w:eastAsia="仿宋_GB2312" w:hAnsi="仿宋" w:hint="eastAsia"/>
          <w:sz w:val="32"/>
          <w:szCs w:val="32"/>
        </w:rPr>
        <w:t>从预算单位构成看，</w:t>
      </w:r>
      <w:r>
        <w:rPr>
          <w:rFonts w:ascii="仿宋_GB2312" w:eastAsia="仿宋_GB2312" w:hAnsi="仿宋" w:cs="仿宋" w:hint="eastAsia"/>
          <w:bCs/>
          <w:sz w:val="32"/>
          <w:szCs w:val="32"/>
        </w:rPr>
        <w:t>淮北仲裁委员会秘书处</w:t>
      </w:r>
      <w:r>
        <w:rPr>
          <w:rFonts w:ascii="仿宋_GB2312" w:eastAsia="仿宋_GB2312" w:hAnsi="仿宋" w:hint="eastAsia"/>
          <w:sz w:val="32"/>
          <w:szCs w:val="32"/>
        </w:rPr>
        <w:t>2023年度部门预算，纳入部门预算编制范围的单位共1个，具体情况见下表。</w:t>
      </w:r>
    </w:p>
    <w:tbl>
      <w:tblPr>
        <w:tblW w:w="9000" w:type="dxa"/>
        <w:tblInd w:w="288" w:type="dxa"/>
        <w:shd w:val="clear" w:color="auto" w:fill="FFFFFF"/>
        <w:tblLayout w:type="fixed"/>
        <w:tblCellMar>
          <w:left w:w="0" w:type="dxa"/>
          <w:right w:w="0" w:type="dxa"/>
        </w:tblCellMar>
        <w:tblLook w:val="04A0" w:firstRow="1" w:lastRow="0" w:firstColumn="1" w:lastColumn="0" w:noHBand="0" w:noVBand="1"/>
      </w:tblPr>
      <w:tblGrid>
        <w:gridCol w:w="900"/>
        <w:gridCol w:w="3600"/>
        <w:gridCol w:w="4500"/>
      </w:tblGrid>
      <w:tr w:rsidR="0040049C" w14:paraId="37E2721A" w14:textId="77777777">
        <w:trPr>
          <w:trHeight w:hRule="exact" w:val="397"/>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4B0BBD" w14:textId="77777777" w:rsidR="0040049C" w:rsidRDefault="00000000">
            <w:pPr>
              <w:adjustRightInd w:val="0"/>
              <w:snapToGrid w:val="0"/>
              <w:spacing w:line="360" w:lineRule="auto"/>
              <w:jc w:val="center"/>
              <w:rPr>
                <w:rFonts w:ascii="仿宋_GB2312" w:eastAsia="仿宋_GB2312" w:hAnsi="宋体" w:hint="eastAsia"/>
                <w:sz w:val="24"/>
              </w:rPr>
            </w:pPr>
            <w:r>
              <w:rPr>
                <w:rFonts w:ascii="仿宋_GB2312" w:eastAsia="仿宋_GB2312" w:hAnsi="宋体" w:hint="eastAsia"/>
                <w:sz w:val="24"/>
              </w:rPr>
              <w:t>序号</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0E1B3E" w14:textId="77777777" w:rsidR="0040049C" w:rsidRDefault="00000000">
            <w:pPr>
              <w:adjustRightInd w:val="0"/>
              <w:snapToGrid w:val="0"/>
              <w:spacing w:line="360" w:lineRule="auto"/>
              <w:jc w:val="center"/>
              <w:rPr>
                <w:rFonts w:ascii="仿宋_GB2312" w:eastAsia="仿宋_GB2312" w:hAnsi="宋体" w:hint="eastAsia"/>
                <w:sz w:val="24"/>
              </w:rPr>
            </w:pPr>
            <w:r>
              <w:rPr>
                <w:rFonts w:ascii="仿宋_GB2312" w:eastAsia="仿宋_GB2312" w:hAnsi="宋体" w:hint="eastAsia"/>
                <w:sz w:val="24"/>
              </w:rPr>
              <w:t>单位名称</w:t>
            </w:r>
          </w:p>
        </w:tc>
        <w:tc>
          <w:tcPr>
            <w:tcW w:w="4500" w:type="dxa"/>
            <w:tcBorders>
              <w:top w:val="single" w:sz="8" w:space="0" w:color="auto"/>
              <w:left w:val="nil"/>
              <w:bottom w:val="single" w:sz="8" w:space="0" w:color="auto"/>
              <w:right w:val="single" w:sz="8" w:space="0" w:color="auto"/>
            </w:tcBorders>
            <w:shd w:val="clear" w:color="auto" w:fill="FFFFFF"/>
          </w:tcPr>
          <w:p w14:paraId="5637DB3C" w14:textId="77777777" w:rsidR="0040049C" w:rsidRDefault="00000000">
            <w:pPr>
              <w:adjustRightInd w:val="0"/>
              <w:snapToGrid w:val="0"/>
              <w:spacing w:line="360" w:lineRule="auto"/>
              <w:jc w:val="center"/>
              <w:rPr>
                <w:rFonts w:ascii="仿宋_GB2312" w:eastAsia="仿宋_GB2312" w:hAnsi="宋体" w:hint="eastAsia"/>
                <w:sz w:val="24"/>
              </w:rPr>
            </w:pPr>
            <w:r>
              <w:rPr>
                <w:rFonts w:ascii="仿宋_GB2312" w:eastAsia="仿宋_GB2312" w:hAnsi="宋体" w:hint="eastAsia"/>
                <w:sz w:val="24"/>
              </w:rPr>
              <w:t>单位性质</w:t>
            </w:r>
          </w:p>
        </w:tc>
      </w:tr>
      <w:tr w:rsidR="0040049C" w14:paraId="3B76663B" w14:textId="77777777">
        <w:trPr>
          <w:trHeight w:hRule="exac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540191B" w14:textId="77777777" w:rsidR="0040049C" w:rsidRDefault="00000000">
            <w:pPr>
              <w:adjustRightInd w:val="0"/>
              <w:snapToGrid w:val="0"/>
              <w:spacing w:line="360" w:lineRule="auto"/>
              <w:jc w:val="center"/>
              <w:rPr>
                <w:rFonts w:ascii="仿宋_GB2312" w:eastAsia="仿宋_GB2312" w:hAnsi="宋体" w:cs="宋体" w:hint="eastAsia"/>
                <w:sz w:val="24"/>
              </w:rPr>
            </w:pPr>
            <w:r>
              <w:rPr>
                <w:rFonts w:ascii="仿宋_GB2312" w:eastAsia="仿宋_GB2312" w:hAnsi="宋体" w:hint="eastAsia"/>
                <w:sz w:val="24"/>
              </w:rPr>
              <w:t>1</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0FC321" w14:textId="77777777" w:rsidR="0040049C" w:rsidRDefault="00000000">
            <w:pPr>
              <w:adjustRightInd w:val="0"/>
              <w:snapToGrid w:val="0"/>
              <w:spacing w:line="360" w:lineRule="auto"/>
              <w:rPr>
                <w:rFonts w:ascii="仿宋_GB2312" w:eastAsia="仿宋_GB2312" w:hAnsi="宋体" w:hint="eastAsia"/>
                <w:sz w:val="24"/>
                <w:u w:val="single"/>
              </w:rPr>
            </w:pPr>
            <w:r>
              <w:rPr>
                <w:rFonts w:ascii="仿宋_GB2312" w:eastAsia="仿宋_GB2312" w:hAnsi="仿宋" w:cs="仿宋" w:hint="eastAsia"/>
                <w:bCs/>
                <w:sz w:val="24"/>
              </w:rPr>
              <w:t>淮北仲裁委员会秘书处</w:t>
            </w:r>
          </w:p>
        </w:tc>
        <w:tc>
          <w:tcPr>
            <w:tcW w:w="4500" w:type="dxa"/>
            <w:tcBorders>
              <w:top w:val="nil"/>
              <w:left w:val="nil"/>
              <w:bottom w:val="single" w:sz="8" w:space="0" w:color="auto"/>
              <w:right w:val="single" w:sz="8" w:space="0" w:color="auto"/>
            </w:tcBorders>
            <w:shd w:val="clear" w:color="auto" w:fill="FFFFFF"/>
          </w:tcPr>
          <w:p w14:paraId="02BD83D0" w14:textId="77777777" w:rsidR="0040049C" w:rsidRDefault="00000000">
            <w:pPr>
              <w:adjustRightInd w:val="0"/>
              <w:snapToGrid w:val="0"/>
              <w:spacing w:line="360" w:lineRule="auto"/>
              <w:jc w:val="center"/>
              <w:rPr>
                <w:rFonts w:ascii="仿宋_GB2312" w:eastAsia="仿宋_GB2312" w:hAnsi="宋体" w:hint="eastAsia"/>
                <w:sz w:val="24"/>
                <w:u w:val="single"/>
              </w:rPr>
            </w:pPr>
            <w:r>
              <w:rPr>
                <w:rFonts w:ascii="仿宋_GB2312" w:eastAsia="仿宋_GB2312" w:hAnsi="仿宋" w:cs="仿宋" w:hint="eastAsia"/>
                <w:bCs/>
                <w:sz w:val="24"/>
              </w:rPr>
              <w:t>全额拨款事业单位</w:t>
            </w:r>
          </w:p>
        </w:tc>
      </w:tr>
    </w:tbl>
    <w:p w14:paraId="483CAA98"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bCs/>
          <w:sz w:val="32"/>
          <w:szCs w:val="32"/>
        </w:rPr>
      </w:pPr>
      <w:r>
        <w:rPr>
          <w:rFonts w:ascii="黑体" w:eastAsia="黑体" w:hAnsi="黑体" w:cs="黑体" w:hint="eastAsia"/>
          <w:bCs/>
          <w:sz w:val="32"/>
          <w:szCs w:val="32"/>
        </w:rPr>
        <w:t>三、2023年度主要工作任务</w:t>
      </w:r>
    </w:p>
    <w:p w14:paraId="5A696CCC" w14:textId="77777777" w:rsidR="0040049C" w:rsidRDefault="00000000">
      <w:pPr>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（一）发挥仲裁职能作用，积极融入基层社会治理</w:t>
      </w:r>
    </w:p>
    <w:p w14:paraId="197FB750" w14:textId="77777777" w:rsidR="0040049C" w:rsidRDefault="00000000">
      <w:pPr>
        <w:snapToGrid w:val="0"/>
        <w:spacing w:line="58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紧紧围绕党委政府中心工作，建立与行政调解组织、人民调解组织、基层群众性自治组织之间的关系衔接机制，发挥好多元化解矛盾机制的作用。把仲裁融入经济社会发展的各个领域，在</w:t>
      </w:r>
      <w:r>
        <w:rPr>
          <w:rFonts w:ascii="仿宋_GB2312" w:eastAsia="仿宋_GB2312" w:hAnsi="黑体" w:cs="Times New Roman" w:hint="eastAsia"/>
          <w:sz w:val="32"/>
          <w:szCs w:val="32"/>
        </w:rPr>
        <w:lastRenderedPageBreak/>
        <w:t>解决好传统商事纠纷的同时，把仲裁服务延伸到基层，积极参与乡村、街道、社区的基层社会治理，依法妥善处理人民群众在日常生产生活中涉及财产权益的各类民事纠纷，为我市各类市场主体提供优质高效的公共法律服务。</w:t>
      </w:r>
    </w:p>
    <w:p w14:paraId="53A82C70" w14:textId="77777777" w:rsidR="0040049C" w:rsidRDefault="00000000">
      <w:pPr>
        <w:spacing w:line="580" w:lineRule="exact"/>
        <w:ind w:firstLineChars="200" w:firstLine="643"/>
        <w:rPr>
          <w:rFonts w:ascii="仿宋_GB2312" w:eastAsia="仿宋_GB2312" w:hAnsi="仿宋_GB2312" w:cs="仿宋_GB2312" w:hint="eastAsia"/>
          <w:b/>
          <w:bCs/>
          <w:kern w:val="0"/>
          <w:sz w:val="28"/>
          <w:szCs w:val="28"/>
          <w:shd w:val="clear" w:color="auto" w:fill="FFFFFF"/>
        </w:rPr>
      </w:pPr>
      <w:r>
        <w:rPr>
          <w:rFonts w:ascii="楷体" w:eastAsia="楷体" w:hAnsi="楷体" w:cs="楷体" w:hint="eastAsia"/>
          <w:b/>
          <w:bCs/>
          <w:sz w:val="32"/>
          <w:szCs w:val="32"/>
        </w:rPr>
        <w:t>（二）加大宣传力度，扩大仲裁影响力</w:t>
      </w:r>
    </w:p>
    <w:p w14:paraId="75BD9D40" w14:textId="77777777" w:rsidR="0040049C" w:rsidRDefault="00000000">
      <w:pPr>
        <w:snapToGrid w:val="0"/>
        <w:spacing w:line="58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积极联系新闻媒体对仲裁知识及本会仲裁工作动态进行适时的宣传，提高层次和宣传效应。组织仲裁员深入重点行业、重点企业和易发生经济纠纷的环节进行调查研究，帮助市场主体了解法律知识，化解经营风险，为可能和已经发生的问题把脉、会诊、</w:t>
      </w:r>
      <w:proofErr w:type="gramStart"/>
      <w:r>
        <w:rPr>
          <w:rFonts w:ascii="仿宋_GB2312" w:eastAsia="仿宋_GB2312" w:hAnsi="黑体" w:cs="Times New Roman" w:hint="eastAsia"/>
          <w:sz w:val="32"/>
          <w:szCs w:val="32"/>
        </w:rPr>
        <w:t>作出</w:t>
      </w:r>
      <w:proofErr w:type="gramEnd"/>
      <w:r>
        <w:rPr>
          <w:rFonts w:ascii="仿宋_GB2312" w:eastAsia="仿宋_GB2312" w:hAnsi="黑体" w:cs="Times New Roman" w:hint="eastAsia"/>
          <w:sz w:val="32"/>
          <w:szCs w:val="32"/>
        </w:rPr>
        <w:t>风险评估。</w:t>
      </w:r>
    </w:p>
    <w:p w14:paraId="064694EB" w14:textId="77777777" w:rsidR="0040049C" w:rsidRDefault="00000000">
      <w:pPr>
        <w:snapToGrid w:val="0"/>
        <w:spacing w:line="58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加强与城建、国土、金融等部门和单位的联系与交流，做好基础工作，规范和完善合同文本，搞好案源储备。建立仲裁联络员制度，加强与各商会、协会的沟通协作，密切仲裁工作联系，通过举办仲裁法律咨询培训活动，点面结合进一步推介仲裁法律制度，引导当事人选择仲裁来解决纠纷。</w:t>
      </w:r>
    </w:p>
    <w:p w14:paraId="5CCBA7CD" w14:textId="77777777" w:rsidR="0040049C" w:rsidRDefault="00000000">
      <w:pPr>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（三）开展“1234”助</w:t>
      </w:r>
      <w:proofErr w:type="gramStart"/>
      <w:r>
        <w:rPr>
          <w:rFonts w:ascii="楷体" w:eastAsia="楷体" w:hAnsi="楷体" w:cs="楷体" w:hint="eastAsia"/>
          <w:b/>
          <w:bCs/>
          <w:sz w:val="32"/>
          <w:szCs w:val="32"/>
        </w:rPr>
        <w:t>企行动</w:t>
      </w:r>
      <w:proofErr w:type="gramEnd"/>
      <w:r>
        <w:rPr>
          <w:rFonts w:ascii="楷体" w:eastAsia="楷体" w:hAnsi="楷体" w:cs="楷体" w:hint="eastAsia"/>
          <w:b/>
          <w:bCs/>
          <w:sz w:val="32"/>
          <w:szCs w:val="32"/>
        </w:rPr>
        <w:t xml:space="preserve"> 创优法治化营商环境</w:t>
      </w:r>
    </w:p>
    <w:p w14:paraId="0BF158AA" w14:textId="77777777" w:rsidR="0040049C" w:rsidRDefault="00000000">
      <w:pPr>
        <w:spacing w:line="580" w:lineRule="exact"/>
        <w:ind w:firstLineChars="200" w:firstLine="640"/>
        <w:rPr>
          <w:rFonts w:ascii="仿宋_GB2312" w:eastAsia="仿宋_GB2312" w:hAnsi="黑体" w:hint="eastAsia"/>
          <w:sz w:val="32"/>
          <w:szCs w:val="32"/>
        </w:rPr>
      </w:pPr>
      <w:r>
        <w:rPr>
          <w:rFonts w:ascii="楷体_GB2312" w:eastAsia="楷体_GB2312" w:hAnsi="黑体" w:hint="eastAsia"/>
          <w:b/>
          <w:bCs/>
          <w:sz w:val="32"/>
          <w:szCs w:val="32"/>
        </w:rPr>
        <w:t>“1”是一个总牵引。</w:t>
      </w:r>
      <w:r>
        <w:rPr>
          <w:rFonts w:ascii="仿宋_GB2312" w:eastAsia="仿宋_GB2312" w:hAnsi="黑体" w:hint="eastAsia"/>
          <w:sz w:val="32"/>
          <w:szCs w:val="32"/>
        </w:rPr>
        <w:t>聚焦淮北更高质量转型发展，充分发挥职能作用，积极创新仲裁服务，努力</w:t>
      </w:r>
      <w:proofErr w:type="gramStart"/>
      <w:r>
        <w:rPr>
          <w:rFonts w:ascii="仿宋_GB2312" w:eastAsia="仿宋_GB2312" w:hAnsi="黑体" w:hint="eastAsia"/>
          <w:sz w:val="32"/>
          <w:szCs w:val="32"/>
        </w:rPr>
        <w:t>创优全市</w:t>
      </w:r>
      <w:proofErr w:type="gramEnd"/>
      <w:r>
        <w:rPr>
          <w:rFonts w:ascii="仿宋_GB2312" w:eastAsia="仿宋_GB2312" w:hAnsi="黑体" w:hint="eastAsia"/>
          <w:sz w:val="32"/>
          <w:szCs w:val="32"/>
        </w:rPr>
        <w:t>稳定、公平、透明、可预期的法治化营商环境。</w:t>
      </w:r>
      <w:r>
        <w:rPr>
          <w:rFonts w:ascii="楷体_GB2312" w:eastAsia="楷体_GB2312" w:hAnsi="黑体" w:hint="eastAsia"/>
          <w:b/>
          <w:sz w:val="32"/>
          <w:szCs w:val="32"/>
        </w:rPr>
        <w:t>“2”是两个基础</w:t>
      </w:r>
      <w:r>
        <w:rPr>
          <w:rFonts w:ascii="楷体_GB2312" w:eastAsia="楷体_GB2312" w:hAnsi="黑体" w:hint="eastAsia"/>
          <w:b/>
          <w:bCs/>
          <w:sz w:val="32"/>
          <w:szCs w:val="32"/>
        </w:rPr>
        <w:t>条件。</w:t>
      </w:r>
      <w:r>
        <w:rPr>
          <w:rFonts w:ascii="仿宋_GB2312" w:eastAsia="仿宋_GB2312" w:hAnsi="黑体" w:hint="eastAsia"/>
          <w:sz w:val="32"/>
          <w:szCs w:val="32"/>
        </w:rPr>
        <w:t>成立一支法律志愿服务队；为重点企业各安排一名助企联络员。成立由20名仲裁员组成的法律志愿服务队，共安排5名办案秘书“一对一”联络帮扶重点企业。</w:t>
      </w:r>
      <w:r>
        <w:rPr>
          <w:rFonts w:ascii="楷体_GB2312" w:eastAsia="楷体_GB2312" w:hAnsi="黑体" w:hint="eastAsia"/>
          <w:b/>
          <w:sz w:val="32"/>
          <w:szCs w:val="32"/>
        </w:rPr>
        <w:t>“3”是三种帮助方式。</w:t>
      </w:r>
      <w:r>
        <w:rPr>
          <w:rFonts w:ascii="仿宋_GB2312" w:eastAsia="仿宋_GB2312" w:hAnsi="黑体" w:hint="eastAsia"/>
          <w:sz w:val="32"/>
          <w:szCs w:val="32"/>
        </w:rPr>
        <w:t>分别是就有关涉</w:t>
      </w:r>
      <w:proofErr w:type="gramStart"/>
      <w:r>
        <w:rPr>
          <w:rFonts w:ascii="仿宋_GB2312" w:eastAsia="仿宋_GB2312" w:hAnsi="黑体" w:hint="eastAsia"/>
          <w:sz w:val="32"/>
          <w:szCs w:val="32"/>
        </w:rPr>
        <w:t>企法律</w:t>
      </w:r>
      <w:proofErr w:type="gramEnd"/>
      <w:r>
        <w:rPr>
          <w:rFonts w:ascii="仿宋_GB2312" w:eastAsia="仿宋_GB2312" w:hAnsi="黑体" w:hint="eastAsia"/>
          <w:sz w:val="32"/>
          <w:szCs w:val="32"/>
        </w:rPr>
        <w:t>问题进行现场咨询；签订合同注意事项和完善规范合同进行现场指导；举行法律知识专题讲座。活动开展以来，</w:t>
      </w:r>
      <w:r>
        <w:rPr>
          <w:rFonts w:ascii="仿宋_GB2312" w:eastAsia="仿宋_GB2312" w:hAnsi="黑体"/>
          <w:sz w:val="32"/>
          <w:szCs w:val="32"/>
        </w:rPr>
        <w:t>已和</w:t>
      </w:r>
      <w:r>
        <w:rPr>
          <w:rFonts w:ascii="仿宋_GB2312" w:eastAsia="仿宋_GB2312" w:hAnsi="黑体" w:hint="eastAsia"/>
          <w:sz w:val="32"/>
          <w:szCs w:val="32"/>
        </w:rPr>
        <w:t>市中小企业</w:t>
      </w:r>
      <w:r>
        <w:rPr>
          <w:rFonts w:ascii="仿宋_GB2312" w:eastAsia="仿宋_GB2312" w:hAnsi="黑体" w:hint="eastAsia"/>
          <w:sz w:val="32"/>
          <w:szCs w:val="32"/>
        </w:rPr>
        <w:lastRenderedPageBreak/>
        <w:t>协会开展</w:t>
      </w:r>
      <w:r>
        <w:rPr>
          <w:rFonts w:ascii="仿宋_GB2312" w:eastAsia="仿宋_GB2312" w:hAnsi="黑体"/>
          <w:sz w:val="32"/>
          <w:szCs w:val="32"/>
        </w:rPr>
        <w:t>对接，实地走访民营企业</w:t>
      </w:r>
      <w:r>
        <w:rPr>
          <w:rFonts w:ascii="仿宋_GB2312" w:eastAsia="仿宋_GB2312" w:hAnsi="黑体" w:hint="eastAsia"/>
          <w:sz w:val="32"/>
          <w:szCs w:val="32"/>
        </w:rPr>
        <w:t>17</w:t>
      </w:r>
      <w:r>
        <w:rPr>
          <w:rFonts w:ascii="仿宋_GB2312" w:eastAsia="仿宋_GB2312" w:hAnsi="黑体"/>
          <w:sz w:val="32"/>
          <w:szCs w:val="32"/>
        </w:rPr>
        <w:t>家，与</w:t>
      </w:r>
      <w:r>
        <w:rPr>
          <w:rFonts w:ascii="仿宋_GB2312" w:eastAsia="仿宋_GB2312" w:hAnsi="黑体" w:hint="eastAsia"/>
          <w:sz w:val="32"/>
          <w:szCs w:val="32"/>
        </w:rPr>
        <w:t>5</w:t>
      </w:r>
      <w:r>
        <w:rPr>
          <w:rFonts w:ascii="仿宋_GB2312" w:eastAsia="仿宋_GB2312" w:hAnsi="黑体"/>
          <w:sz w:val="32"/>
          <w:szCs w:val="32"/>
        </w:rPr>
        <w:t>家企业结对</w:t>
      </w:r>
      <w:r>
        <w:rPr>
          <w:rFonts w:ascii="仿宋_GB2312" w:eastAsia="仿宋_GB2312" w:hAnsi="黑体" w:hint="eastAsia"/>
          <w:sz w:val="32"/>
          <w:szCs w:val="32"/>
        </w:rPr>
        <w:t>；开展现场法律咨询75人次，指导规范合同12份，</w:t>
      </w:r>
      <w:r>
        <w:rPr>
          <w:rFonts w:ascii="仿宋_GB2312" w:eastAsia="仿宋_GB2312" w:hAnsi="黑体"/>
          <w:sz w:val="32"/>
          <w:szCs w:val="32"/>
        </w:rPr>
        <w:t>梳理法律风险点</w:t>
      </w:r>
      <w:r>
        <w:rPr>
          <w:rFonts w:ascii="仿宋_GB2312" w:eastAsia="仿宋_GB2312" w:hAnsi="黑体" w:hint="eastAsia"/>
          <w:sz w:val="32"/>
          <w:szCs w:val="32"/>
        </w:rPr>
        <w:t>38</w:t>
      </w:r>
      <w:r>
        <w:rPr>
          <w:rFonts w:ascii="仿宋_GB2312" w:eastAsia="仿宋_GB2312" w:hAnsi="黑体"/>
          <w:sz w:val="32"/>
          <w:szCs w:val="32"/>
        </w:rPr>
        <w:t>个，</w:t>
      </w:r>
      <w:r>
        <w:rPr>
          <w:rFonts w:ascii="仿宋_GB2312" w:eastAsia="仿宋_GB2312" w:hAnsi="黑体" w:hint="eastAsia"/>
          <w:sz w:val="32"/>
          <w:szCs w:val="32"/>
        </w:rPr>
        <w:t>提</w:t>
      </w:r>
      <w:r>
        <w:rPr>
          <w:rFonts w:ascii="仿宋_GB2312" w:eastAsia="仿宋_GB2312" w:hAnsi="黑体"/>
          <w:sz w:val="32"/>
          <w:szCs w:val="32"/>
        </w:rPr>
        <w:t>出法律意见建议</w:t>
      </w:r>
      <w:r>
        <w:rPr>
          <w:rFonts w:ascii="仿宋_GB2312" w:eastAsia="仿宋_GB2312" w:hAnsi="黑体" w:hint="eastAsia"/>
          <w:sz w:val="32"/>
          <w:szCs w:val="32"/>
        </w:rPr>
        <w:t>65</w:t>
      </w:r>
      <w:r>
        <w:rPr>
          <w:rFonts w:ascii="仿宋_GB2312" w:eastAsia="仿宋_GB2312" w:hAnsi="黑体"/>
          <w:sz w:val="32"/>
          <w:szCs w:val="32"/>
        </w:rPr>
        <w:t>条</w:t>
      </w:r>
      <w:r>
        <w:rPr>
          <w:rFonts w:ascii="仿宋_GB2312" w:eastAsia="仿宋_GB2312" w:hAnsi="黑体" w:hint="eastAsia"/>
          <w:sz w:val="32"/>
          <w:szCs w:val="32"/>
        </w:rPr>
        <w:t>；举办法律知识讲座5场</w:t>
      </w:r>
      <w:r>
        <w:rPr>
          <w:rFonts w:ascii="仿宋_GB2312" w:eastAsia="仿宋_GB2312" w:hAnsi="黑体"/>
          <w:sz w:val="32"/>
          <w:szCs w:val="32"/>
        </w:rPr>
        <w:t>次，受众人数</w:t>
      </w:r>
      <w:r>
        <w:rPr>
          <w:rFonts w:ascii="仿宋_GB2312" w:eastAsia="仿宋_GB2312" w:hAnsi="黑体" w:hint="eastAsia"/>
          <w:sz w:val="32"/>
          <w:szCs w:val="32"/>
        </w:rPr>
        <w:t>达400余</w:t>
      </w:r>
      <w:r>
        <w:rPr>
          <w:rFonts w:ascii="仿宋_GB2312" w:eastAsia="仿宋_GB2312" w:hAnsi="黑体"/>
          <w:sz w:val="32"/>
          <w:szCs w:val="32"/>
        </w:rPr>
        <w:t>人次</w:t>
      </w:r>
      <w:r>
        <w:rPr>
          <w:rFonts w:ascii="仿宋_GB2312" w:eastAsia="仿宋_GB2312" w:hAnsi="黑体" w:hint="eastAsia"/>
          <w:sz w:val="32"/>
          <w:szCs w:val="32"/>
        </w:rPr>
        <w:t>。</w:t>
      </w:r>
      <w:r>
        <w:rPr>
          <w:rFonts w:ascii="楷体_GB2312" w:eastAsia="楷体_GB2312" w:hAnsi="黑体" w:hint="eastAsia"/>
          <w:b/>
          <w:sz w:val="32"/>
          <w:szCs w:val="32"/>
        </w:rPr>
        <w:t>“4”是四项具体目标。</w:t>
      </w:r>
      <w:r>
        <w:rPr>
          <w:rFonts w:ascii="仿宋_GB2312" w:eastAsia="仿宋_GB2312" w:hAnsi="黑体" w:hint="eastAsia"/>
          <w:sz w:val="32"/>
          <w:szCs w:val="32"/>
        </w:rPr>
        <w:t>通过为企业“把脉支招”进行“法治体检”，开具“法律处方”，以期达到增强企业员工的法律意识；促进企业依法决策、依法经营、依法管理、依法维权；建立健全企业管理制度、风险防范和矛盾化解机制；坚定企业诚信经营、做大做强的信心决心。</w:t>
      </w:r>
    </w:p>
    <w:p w14:paraId="44E32888" w14:textId="77777777" w:rsidR="0040049C" w:rsidRDefault="00000000">
      <w:pPr>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（四）扎实推进信访案件化解工作</w:t>
      </w:r>
    </w:p>
    <w:p w14:paraId="5996BAC7" w14:textId="77777777" w:rsidR="0040049C" w:rsidRDefault="00000000">
      <w:pPr>
        <w:spacing w:line="586"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今年以来，淮北仲裁委秘书处共收到市信访局及市司法局交办信访案件7件，已化解3件，尚有4件未化解，分别是马超、于道华、淮北</w:t>
      </w:r>
      <w:proofErr w:type="gramStart"/>
      <w:r>
        <w:rPr>
          <w:rFonts w:ascii="仿宋_GB2312" w:eastAsia="仿宋_GB2312" w:hAnsi="Times New Roman" w:cs="Times New Roman" w:hint="eastAsia"/>
          <w:sz w:val="32"/>
          <w:szCs w:val="32"/>
        </w:rPr>
        <w:t>市嘉铭房地产</w:t>
      </w:r>
      <w:proofErr w:type="gramEnd"/>
      <w:r>
        <w:rPr>
          <w:rFonts w:ascii="仿宋_GB2312" w:eastAsia="仿宋_GB2312" w:hAnsi="Times New Roman" w:cs="Times New Roman" w:hint="eastAsia"/>
          <w:sz w:val="32"/>
          <w:szCs w:val="32"/>
        </w:rPr>
        <w:t>开发有限公司法定代表人张志明、淮北市耘安商贸有限公司法定代表人刘冬梅信访案件，化解工作正在积极有序推进中。</w:t>
      </w:r>
    </w:p>
    <w:p w14:paraId="0688482D" w14:textId="77777777" w:rsidR="0040049C" w:rsidRDefault="00000000">
      <w:pPr>
        <w:spacing w:line="59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针对信访人诉求，采取逐案查阅案件卷宗、向仲裁庭调查核实、与信访人见面沟通等方式，对每起信访案件均建立</w:t>
      </w:r>
      <w:proofErr w:type="gramStart"/>
      <w:r>
        <w:rPr>
          <w:rFonts w:ascii="仿宋_GB2312" w:eastAsia="仿宋_GB2312" w:hAnsi="黑体" w:hint="eastAsia"/>
          <w:sz w:val="32"/>
          <w:szCs w:val="32"/>
        </w:rPr>
        <w:t>台账并形成</w:t>
      </w:r>
      <w:proofErr w:type="gramEnd"/>
      <w:r>
        <w:rPr>
          <w:rFonts w:ascii="仿宋_GB2312" w:eastAsia="仿宋_GB2312" w:hAnsi="黑体" w:hint="eastAsia"/>
          <w:sz w:val="32"/>
          <w:szCs w:val="32"/>
        </w:rPr>
        <w:t>书面调查报告，及时给信访人进行反馈，化解的主要举措有：</w:t>
      </w:r>
    </w:p>
    <w:p w14:paraId="35459EB2" w14:textId="77777777" w:rsidR="0040049C" w:rsidRDefault="00000000">
      <w:pPr>
        <w:spacing w:line="586" w:lineRule="exact"/>
        <w:ind w:firstLineChars="200" w:firstLine="640"/>
        <w:rPr>
          <w:rFonts w:ascii="仿宋_GB2312" w:eastAsia="仿宋_GB2312"/>
          <w:sz w:val="32"/>
          <w:szCs w:val="32"/>
        </w:rPr>
      </w:pPr>
      <w:r>
        <w:rPr>
          <w:rFonts w:ascii="仿宋_GB2312" w:eastAsia="仿宋_GB2312" w:hint="eastAsia"/>
          <w:sz w:val="32"/>
          <w:szCs w:val="32"/>
        </w:rPr>
        <w:t>1.耐心细致做好解释沟通工作，引导信访人采取法定方式寻求救济，如对裁决不服可去市中院申请撤销；</w:t>
      </w:r>
    </w:p>
    <w:p w14:paraId="4AE5DCEB" w14:textId="77777777" w:rsidR="0040049C" w:rsidRDefault="00000000">
      <w:pPr>
        <w:spacing w:line="590" w:lineRule="exact"/>
        <w:ind w:firstLineChars="200" w:firstLine="640"/>
      </w:pPr>
      <w:r>
        <w:rPr>
          <w:rFonts w:ascii="仿宋_GB2312" w:eastAsia="仿宋_GB2312" w:hint="eastAsia"/>
          <w:sz w:val="32"/>
          <w:szCs w:val="32"/>
        </w:rPr>
        <w:t>2.组织仲裁庭对信访人进行裁后答疑，针对性地回应其反映的问题；</w:t>
      </w:r>
    </w:p>
    <w:p w14:paraId="6F58FD6F" w14:textId="77777777" w:rsidR="0040049C" w:rsidRDefault="00000000">
      <w:pPr>
        <w:spacing w:line="590" w:lineRule="exact"/>
        <w:ind w:firstLineChars="200" w:firstLine="640"/>
        <w:rPr>
          <w:rFonts w:ascii="仿宋_GB2312" w:eastAsia="仿宋_GB2312"/>
          <w:sz w:val="32"/>
          <w:szCs w:val="32"/>
        </w:rPr>
      </w:pPr>
      <w:r>
        <w:rPr>
          <w:rFonts w:ascii="仿宋_GB2312" w:eastAsia="仿宋_GB2312" w:hint="eastAsia"/>
          <w:sz w:val="32"/>
          <w:szCs w:val="32"/>
        </w:rPr>
        <w:t>3.积极协调沟通双方当事人，力求促成双方当事人执行和解；</w:t>
      </w:r>
    </w:p>
    <w:p w14:paraId="43FF71E7" w14:textId="77777777" w:rsidR="0040049C" w:rsidRDefault="00000000">
      <w:pPr>
        <w:pStyle w:val="a0"/>
        <w:ind w:firstLine="640"/>
      </w:pPr>
      <w:r>
        <w:rPr>
          <w:rFonts w:ascii="仿宋_GB2312" w:eastAsia="仿宋_GB2312" w:hint="eastAsia"/>
          <w:sz w:val="32"/>
          <w:szCs w:val="32"/>
        </w:rPr>
        <w:t>4.积极与信访人所在社区配合，及时了解信访人动向，共同做</w:t>
      </w:r>
      <w:r>
        <w:rPr>
          <w:rFonts w:ascii="仿宋_GB2312" w:eastAsia="仿宋_GB2312" w:hint="eastAsia"/>
          <w:sz w:val="32"/>
          <w:szCs w:val="32"/>
        </w:rPr>
        <w:lastRenderedPageBreak/>
        <w:t>好稳控工作</w:t>
      </w:r>
      <w:r>
        <w:rPr>
          <w:rFonts w:hint="eastAsia"/>
        </w:rPr>
        <w:t>。</w:t>
      </w:r>
    </w:p>
    <w:p w14:paraId="39C17805" w14:textId="77777777" w:rsidR="0040049C" w:rsidRDefault="00000000">
      <w:pPr>
        <w:spacing w:line="58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（五）全面推进“互联网+仲裁”工作</w:t>
      </w:r>
    </w:p>
    <w:p w14:paraId="4E262E22" w14:textId="77777777" w:rsidR="0040049C" w:rsidRDefault="00000000">
      <w:pPr>
        <w:snapToGrid w:val="0"/>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“互联网+仲裁”系统目前已投入试运行。未来将具备网上立案与在线庭审功能，让当事人享受到高效、便捷的仲裁法律服务。</w:t>
      </w:r>
    </w:p>
    <w:p w14:paraId="29C4B1C8" w14:textId="77777777" w:rsidR="0040049C" w:rsidRDefault="0040049C">
      <w:pPr>
        <w:rPr>
          <w:rFonts w:ascii="仿宋_GB2312" w:eastAsia="仿宋_GB2312" w:hAnsi="仿宋_GB2312" w:cs="仿宋_GB2312" w:hint="eastAsia"/>
        </w:rPr>
      </w:pPr>
    </w:p>
    <w:p w14:paraId="79E520EA" w14:textId="77777777" w:rsidR="0040049C" w:rsidRDefault="00000000">
      <w:pPr>
        <w:pStyle w:val="a4"/>
        <w:adjustRightInd w:val="0"/>
        <w:snapToGrid w:val="0"/>
        <w:spacing w:line="560" w:lineRule="exact"/>
        <w:jc w:val="center"/>
        <w:rPr>
          <w:rFonts w:ascii="黑体" w:eastAsia="黑体" w:hAnsi="黑体" w:cs="黑体" w:hint="eastAsia"/>
          <w:bCs/>
          <w:sz w:val="36"/>
          <w:szCs w:val="36"/>
        </w:rPr>
      </w:pPr>
      <w:r>
        <w:rPr>
          <w:rFonts w:ascii="黑体" w:eastAsia="黑体" w:hAnsi="黑体" w:cs="黑体" w:hint="eastAsia"/>
          <w:bCs/>
          <w:sz w:val="36"/>
          <w:szCs w:val="36"/>
        </w:rPr>
        <w:t>第二部分 淮北仲裁委员会秘书处预算表</w:t>
      </w:r>
    </w:p>
    <w:p w14:paraId="5CF5E696" w14:textId="0CBB7C26" w:rsidR="0040049C" w:rsidRPr="0036578D" w:rsidRDefault="00000000" w:rsidP="0036578D">
      <w:pPr>
        <w:pStyle w:val="a4"/>
        <w:adjustRightInd w:val="0"/>
        <w:snapToGrid w:val="0"/>
        <w:spacing w:line="560" w:lineRule="exact"/>
        <w:ind w:firstLineChars="196" w:firstLine="627"/>
        <w:jc w:val="center"/>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见附件1-2</w:t>
      </w:r>
    </w:p>
    <w:p w14:paraId="57A58448" w14:textId="2A6F5BFF" w:rsidR="0040049C" w:rsidRPr="002D3ACF" w:rsidRDefault="00000000" w:rsidP="002D3ACF">
      <w:pPr>
        <w:pStyle w:val="a4"/>
        <w:adjustRightInd w:val="0"/>
        <w:snapToGrid w:val="0"/>
        <w:spacing w:line="560" w:lineRule="exact"/>
        <w:jc w:val="center"/>
        <w:rPr>
          <w:rFonts w:ascii="黑体" w:eastAsia="黑体" w:hAnsi="黑体" w:cs="黑体" w:hint="eastAsia"/>
          <w:bCs/>
          <w:sz w:val="36"/>
          <w:szCs w:val="36"/>
        </w:rPr>
      </w:pPr>
      <w:r>
        <w:rPr>
          <w:rFonts w:ascii="黑体" w:eastAsia="黑体" w:hAnsi="黑体" w:cs="黑体" w:hint="eastAsia"/>
          <w:bCs/>
          <w:sz w:val="36"/>
          <w:szCs w:val="36"/>
        </w:rPr>
        <w:t>第三部分 淮北仲裁委员会秘书处预算情况说明</w:t>
      </w:r>
    </w:p>
    <w:p w14:paraId="03D0A902"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一、关于2023年收支总表的说明</w:t>
      </w:r>
    </w:p>
    <w:p w14:paraId="76F065F3" w14:textId="77777777" w:rsidR="0040049C" w:rsidRDefault="00000000">
      <w:pPr>
        <w:pStyle w:val="a4"/>
        <w:adjustRightInd w:val="0"/>
        <w:snapToGrid w:val="0"/>
        <w:spacing w:before="0" w:beforeAutospacing="0" w:after="0" w:afterAutospacing="0" w:line="600" w:lineRule="exact"/>
        <w:ind w:firstLineChars="196" w:firstLine="627"/>
        <w:jc w:val="both"/>
        <w:rPr>
          <w:rFonts w:ascii="仿宋_GB2312" w:eastAsia="仿宋_GB2312" w:hAnsi="仿宋" w:hint="eastAsia"/>
          <w:sz w:val="32"/>
          <w:szCs w:val="32"/>
        </w:rPr>
      </w:pPr>
      <w:r>
        <w:rPr>
          <w:rFonts w:ascii="仿宋_GB2312" w:eastAsia="仿宋_GB2312" w:hAnsi="仿宋_GB2312" w:cs="仿宋_GB2312" w:hint="eastAsia"/>
          <w:sz w:val="32"/>
          <w:szCs w:val="32"/>
        </w:rPr>
        <w:t>按照综合预算的原则，淮北仲裁委员会秘书处所有收入和支出均纳入</w:t>
      </w:r>
      <w:r>
        <w:rPr>
          <w:rFonts w:ascii="仿宋_GB2312" w:eastAsia="仿宋_GB2312" w:hAnsi="仿宋" w:hint="eastAsia"/>
          <w:sz w:val="32"/>
          <w:szCs w:val="32"/>
        </w:rPr>
        <w:t>淮北仲裁委员会秘书处</w:t>
      </w:r>
      <w:r>
        <w:rPr>
          <w:rFonts w:ascii="仿宋_GB2312" w:eastAsia="仿宋_GB2312" w:hAnsi="仿宋_GB2312" w:cs="仿宋_GB2312" w:hint="eastAsia"/>
          <w:sz w:val="32"/>
          <w:szCs w:val="32"/>
        </w:rPr>
        <w:t>预算管理。淮北仲裁委员会秘书处2023年收支总预算307.19万元，</w:t>
      </w:r>
      <w:r>
        <w:rPr>
          <w:rFonts w:ascii="仿宋_GB2312" w:eastAsia="仿宋_GB2312" w:hAnsi="仿宋" w:hint="eastAsia"/>
          <w:sz w:val="32"/>
          <w:szCs w:val="32"/>
        </w:rPr>
        <w:t>收入为一般公共预算拨款收入，支出包括：公共安全支出。</w:t>
      </w:r>
    </w:p>
    <w:p w14:paraId="7F840C44"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二、关于2023年收入总表的说明</w:t>
      </w:r>
    </w:p>
    <w:p w14:paraId="07D7899D"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淮北仲裁委员会秘书处2023年收入预算307.19万元，其中，本年收入307.19万元。</w:t>
      </w:r>
    </w:p>
    <w:p w14:paraId="72C6F7B7" w14:textId="7D1B9154" w:rsidR="0040049C" w:rsidRDefault="00000000">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_GB2312" w:cs="仿宋_GB2312" w:hint="eastAsia"/>
          <w:b/>
          <w:kern w:val="0"/>
          <w:sz w:val="32"/>
          <w:szCs w:val="32"/>
        </w:rPr>
        <w:t>（一）本年收入307.19万元，</w:t>
      </w:r>
      <w:r>
        <w:rPr>
          <w:rFonts w:ascii="仿宋_GB2312" w:eastAsia="仿宋_GB2312" w:hAnsi="仿宋_GB2312" w:cs="仿宋_GB2312" w:hint="eastAsia"/>
          <w:kern w:val="0"/>
          <w:sz w:val="32"/>
          <w:szCs w:val="32"/>
        </w:rPr>
        <w:t>主要包括：一般公共预算拨款收入307.19万元，占100%，比2022年预算增加12.88万元，增长4.38%，</w:t>
      </w:r>
      <w:r>
        <w:rPr>
          <w:rFonts w:ascii="仿宋_GB2312" w:eastAsia="仿宋_GB2312" w:hAnsi="仿宋" w:hint="eastAsia"/>
          <w:sz w:val="32"/>
          <w:szCs w:val="32"/>
        </w:rPr>
        <w:t>原因</w:t>
      </w:r>
      <w:r>
        <w:rPr>
          <w:rFonts w:ascii="仿宋_GB2312" w:eastAsia="仿宋_GB2312" w:hAnsi="仿宋" w:cs="Times New Roman" w:hint="eastAsia"/>
          <w:sz w:val="32"/>
          <w:szCs w:val="32"/>
        </w:rPr>
        <w:t>主</w:t>
      </w:r>
      <w:r>
        <w:rPr>
          <w:rFonts w:ascii="仿宋_GB2312" w:eastAsia="仿宋_GB2312" w:hAnsi="仿宋" w:cs="Times New Roman"/>
          <w:sz w:val="32"/>
          <w:szCs w:val="32"/>
        </w:rPr>
        <w:t>要是人员工资和社会保障费用增多以及案件数量增多</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政府性基金预算拨款收入0万元，占0%，与2022年</w:t>
      </w:r>
      <w:r w:rsidR="0036578D">
        <w:rPr>
          <w:rFonts w:ascii="仿宋_GB2312" w:eastAsia="仿宋_GB2312" w:hAnsi="仿宋" w:hint="eastAsia"/>
          <w:sz w:val="32"/>
          <w:szCs w:val="32"/>
        </w:rPr>
        <w:lastRenderedPageBreak/>
        <w:t>相比</w:t>
      </w:r>
      <w:r>
        <w:rPr>
          <w:rFonts w:ascii="仿宋_GB2312" w:eastAsia="仿宋_GB2312" w:hAnsi="仿宋" w:hint="eastAsia"/>
          <w:sz w:val="32"/>
          <w:szCs w:val="32"/>
        </w:rPr>
        <w:t>无变化；财政专户管理资金收入0万元，占0%，与2022年</w:t>
      </w:r>
      <w:r w:rsidR="0036578D">
        <w:rPr>
          <w:rFonts w:ascii="仿宋_GB2312" w:eastAsia="仿宋_GB2312" w:hAnsi="仿宋" w:hint="eastAsia"/>
          <w:sz w:val="32"/>
          <w:szCs w:val="32"/>
        </w:rPr>
        <w:t>相比</w:t>
      </w:r>
      <w:r>
        <w:rPr>
          <w:rFonts w:ascii="仿宋_GB2312" w:eastAsia="仿宋_GB2312" w:hAnsi="仿宋" w:hint="eastAsia"/>
          <w:sz w:val="32"/>
          <w:szCs w:val="32"/>
        </w:rPr>
        <w:t>无变化。</w:t>
      </w:r>
    </w:p>
    <w:p w14:paraId="561A23B6"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三、关于2023年支出总表的说明</w:t>
      </w:r>
    </w:p>
    <w:p w14:paraId="43D8DD40"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淮北仲裁委员会秘书处2023年支出预算307.19万元，比2022年预算增加12.88万元，增长4.38%，</w:t>
      </w:r>
      <w:r>
        <w:rPr>
          <w:rFonts w:ascii="仿宋_GB2312" w:eastAsia="仿宋_GB2312" w:hAnsi="仿宋" w:hint="eastAsia"/>
          <w:sz w:val="32"/>
          <w:szCs w:val="32"/>
        </w:rPr>
        <w:t>原因</w:t>
      </w:r>
      <w:r>
        <w:rPr>
          <w:rFonts w:ascii="仿宋_GB2312" w:eastAsia="仿宋_GB2312" w:hAnsi="仿宋" w:cs="Times New Roman" w:hint="eastAsia"/>
          <w:sz w:val="32"/>
          <w:szCs w:val="32"/>
        </w:rPr>
        <w:t>主</w:t>
      </w:r>
      <w:r>
        <w:rPr>
          <w:rFonts w:ascii="仿宋_GB2312" w:eastAsia="仿宋_GB2312" w:hAnsi="仿宋" w:cs="Times New Roman"/>
          <w:sz w:val="32"/>
          <w:szCs w:val="32"/>
        </w:rPr>
        <w:t>要是人员工资和社会保障费用增多以及案件数量增多</w:t>
      </w:r>
      <w:r>
        <w:rPr>
          <w:rFonts w:ascii="仿宋_GB2312" w:eastAsia="仿宋_GB2312" w:hAnsi="仿宋_GB2312" w:cs="仿宋_GB2312" w:hint="eastAsia"/>
          <w:kern w:val="0"/>
          <w:sz w:val="32"/>
          <w:szCs w:val="32"/>
        </w:rPr>
        <w:t>。其中，基本支出141.2万元，占45.97%，主要用于保障机构日常运转、完成日常工作任务；项目支出165.99万元，占54.03%，</w:t>
      </w:r>
      <w:r>
        <w:rPr>
          <w:rFonts w:ascii="仿宋_GB2312" w:eastAsia="仿宋_GB2312" w:hAnsi="仿宋" w:hint="eastAsia"/>
          <w:sz w:val="32"/>
          <w:szCs w:val="32"/>
        </w:rPr>
        <w:t>主要用于仲裁员费用发放、聘用人员工资、办案费用等支出</w:t>
      </w:r>
      <w:r>
        <w:rPr>
          <w:rFonts w:ascii="仿宋_GB2312" w:eastAsia="仿宋_GB2312" w:hAnsi="仿宋_GB2312" w:cs="仿宋_GB2312" w:hint="eastAsia"/>
          <w:kern w:val="0"/>
          <w:sz w:val="32"/>
          <w:szCs w:val="32"/>
        </w:rPr>
        <w:t>。</w:t>
      </w:r>
    </w:p>
    <w:p w14:paraId="71ACBBCF"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四、关于2023年财政拨款收支总表的说明</w:t>
      </w:r>
    </w:p>
    <w:p w14:paraId="0AADF30E" w14:textId="1A390675"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淮北仲裁委员会秘书处2023年财政拨款收支预算307.19万元。收入按资金来源分为：一般公共预算拨款307.19万元、政府性基金预算拨款0万元；按资金年度分为：本年财政拨款收入307.19万元。支出按功能分类分为：</w:t>
      </w:r>
      <w:r w:rsidR="0036578D">
        <w:rPr>
          <w:rFonts w:ascii="仿宋_GB2312" w:eastAsia="仿宋_GB2312" w:hAnsi="仿宋_GB2312" w:cs="仿宋_GB2312" w:hint="eastAsia"/>
          <w:kern w:val="0"/>
          <w:sz w:val="32"/>
          <w:szCs w:val="32"/>
        </w:rPr>
        <w:t>公共安全</w:t>
      </w:r>
      <w:r>
        <w:rPr>
          <w:rFonts w:ascii="仿宋_GB2312" w:eastAsia="仿宋_GB2312" w:hAnsi="仿宋_GB2312" w:cs="仿宋_GB2312" w:hint="eastAsia"/>
          <w:kern w:val="0"/>
          <w:sz w:val="32"/>
          <w:szCs w:val="32"/>
        </w:rPr>
        <w:t>支出307.19万元，占100%。</w:t>
      </w:r>
    </w:p>
    <w:p w14:paraId="4E52277E"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五、关于2023年一般公共预算支出表的说明</w:t>
      </w:r>
    </w:p>
    <w:p w14:paraId="40C1EA95"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（一）一般公共预算支出规模变化情况。</w:t>
      </w:r>
    </w:p>
    <w:p w14:paraId="6A513FDA"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淮北仲裁委员会秘书处2023年一般公共预算支出307.19万元，占100%，比2022年预算增加12.88万元，增长4.38%，</w:t>
      </w:r>
      <w:r>
        <w:rPr>
          <w:rFonts w:ascii="仿宋_GB2312" w:eastAsia="仿宋_GB2312" w:hAnsi="仿宋" w:hint="eastAsia"/>
          <w:sz w:val="32"/>
          <w:szCs w:val="32"/>
        </w:rPr>
        <w:lastRenderedPageBreak/>
        <w:t>原因</w:t>
      </w:r>
      <w:r>
        <w:rPr>
          <w:rFonts w:ascii="仿宋_GB2312" w:eastAsia="仿宋_GB2312" w:hAnsi="仿宋" w:cs="Times New Roman" w:hint="eastAsia"/>
          <w:sz w:val="32"/>
          <w:szCs w:val="32"/>
        </w:rPr>
        <w:t>主</w:t>
      </w:r>
      <w:r>
        <w:rPr>
          <w:rFonts w:ascii="仿宋_GB2312" w:eastAsia="仿宋_GB2312" w:hAnsi="仿宋" w:cs="Times New Roman"/>
          <w:sz w:val="32"/>
          <w:szCs w:val="32"/>
        </w:rPr>
        <w:t>要是人员工资和社会保障费用增多以及案件数量增多</w:t>
      </w:r>
      <w:r>
        <w:rPr>
          <w:rFonts w:ascii="仿宋_GB2312" w:eastAsia="仿宋_GB2312" w:hAnsi="仿宋_GB2312" w:cs="仿宋_GB2312" w:hint="eastAsia"/>
          <w:kern w:val="0"/>
          <w:sz w:val="32"/>
          <w:szCs w:val="32"/>
        </w:rPr>
        <w:t>。</w:t>
      </w:r>
    </w:p>
    <w:p w14:paraId="4A0B7359"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（二）一般公共预算支出结构情况。</w:t>
      </w:r>
    </w:p>
    <w:p w14:paraId="3454FF6A"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 w:cs="Times New Roman" w:hint="eastAsia"/>
          <w:sz w:val="32"/>
          <w:szCs w:val="32"/>
        </w:rPr>
        <w:t>公共安全支出307.19万元，占100%</w:t>
      </w:r>
      <w:r>
        <w:rPr>
          <w:rFonts w:ascii="仿宋_GB2312" w:eastAsia="仿宋_GB2312" w:hAnsi="仿宋_GB2312" w:cs="仿宋_GB2312" w:hint="eastAsia"/>
          <w:kern w:val="0"/>
          <w:sz w:val="32"/>
          <w:szCs w:val="32"/>
        </w:rPr>
        <w:t>。</w:t>
      </w:r>
    </w:p>
    <w:p w14:paraId="3BD7566E"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（三）一般公共预算支出具体使用情况。</w:t>
      </w:r>
    </w:p>
    <w:p w14:paraId="4F1B9A65" w14:textId="77777777" w:rsidR="0040049C" w:rsidRDefault="00000000">
      <w:pPr>
        <w:adjustRightInd w:val="0"/>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b/>
          <w:sz w:val="32"/>
          <w:szCs w:val="32"/>
        </w:rPr>
        <w:t>1.公共安全支出（类）司法（款）事业运行（项）</w:t>
      </w:r>
      <w:r>
        <w:rPr>
          <w:rFonts w:ascii="仿宋_GB2312" w:eastAsia="仿宋_GB2312" w:hAnsi="仿宋" w:hint="eastAsia"/>
          <w:sz w:val="32"/>
          <w:szCs w:val="32"/>
        </w:rPr>
        <w:t>2023年预算307.19万元，比2021年预算增加44.18万元，增长16.8%，增长原因主要是</w:t>
      </w:r>
      <w:r>
        <w:rPr>
          <w:rFonts w:ascii="仿宋_GB2312" w:eastAsia="仿宋_GB2312" w:hAnsi="仿宋" w:cs="Times New Roman"/>
          <w:sz w:val="32"/>
          <w:szCs w:val="32"/>
        </w:rPr>
        <w:t>人员工资和社会保障费用增多以及案件数量增多</w:t>
      </w:r>
      <w:r>
        <w:rPr>
          <w:rFonts w:ascii="仿宋_GB2312" w:eastAsia="仿宋_GB2312" w:hAnsi="仿宋" w:hint="eastAsia"/>
          <w:sz w:val="32"/>
          <w:szCs w:val="32"/>
        </w:rPr>
        <w:t>。</w:t>
      </w:r>
    </w:p>
    <w:p w14:paraId="70FEE5C3"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六、关于2023年一般公共预算基本支出表的说明</w:t>
      </w:r>
    </w:p>
    <w:p w14:paraId="7DC15835"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淮北仲裁委员会秘书处2023年一般公共预算基本支出141.2万元，其中，人员经费132.8万元，公用经费8.4万元。</w:t>
      </w:r>
    </w:p>
    <w:p w14:paraId="7D61D885"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kern w:val="0"/>
          <w:sz w:val="32"/>
          <w:szCs w:val="32"/>
        </w:rPr>
        <w:t>（一）人员经费132.8万元，</w:t>
      </w:r>
      <w:r>
        <w:rPr>
          <w:rFonts w:ascii="仿宋_GB2312" w:eastAsia="仿宋_GB2312" w:hAnsi="仿宋_GB2312" w:cs="仿宋_GB2312" w:hint="eastAsia"/>
          <w:kern w:val="0"/>
          <w:sz w:val="32"/>
          <w:szCs w:val="32"/>
        </w:rPr>
        <w:t>主要包括:</w:t>
      </w:r>
      <w:r>
        <w:rPr>
          <w:rFonts w:ascii="仿宋_GB2312" w:eastAsia="仿宋_GB2312" w:hAnsi="仿宋" w:hint="eastAsia"/>
          <w:sz w:val="32"/>
          <w:szCs w:val="32"/>
        </w:rPr>
        <w:t>职务（岗位）工资、　级别（技术等级薪级）工资、见习期工资、奖金、基础性绩效、奖励性绩效、基础绩效奖、机关事业单位基本养老保险缴费、职业年金缴费、职工基本医疗保险缴费、公务员医疗补助缴费、其他社会保障缴费、住房公积金、办公费、工会经费、福利费、其他对个人和家庭的补助、其他工资福利支出</w:t>
      </w:r>
      <w:r>
        <w:rPr>
          <w:rFonts w:ascii="仿宋_GB2312" w:eastAsia="仿宋_GB2312" w:hAnsi="仿宋_GB2312" w:cs="仿宋_GB2312" w:hint="eastAsia"/>
          <w:kern w:val="0"/>
          <w:sz w:val="32"/>
          <w:szCs w:val="32"/>
        </w:rPr>
        <w:t>。</w:t>
      </w:r>
    </w:p>
    <w:p w14:paraId="2DBC5C7B"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kern w:val="0"/>
          <w:sz w:val="32"/>
          <w:szCs w:val="32"/>
        </w:rPr>
        <w:t>（二）公用经费8.4万元，</w:t>
      </w:r>
      <w:r>
        <w:rPr>
          <w:rFonts w:ascii="仿宋_GB2312" w:eastAsia="仿宋_GB2312" w:hAnsi="仿宋_GB2312" w:cs="仿宋_GB2312" w:hint="eastAsia"/>
          <w:kern w:val="0"/>
          <w:sz w:val="32"/>
          <w:szCs w:val="32"/>
        </w:rPr>
        <w:t>主要包括：</w:t>
      </w:r>
      <w:r>
        <w:rPr>
          <w:rFonts w:ascii="仿宋_GB2312" w:eastAsia="仿宋_GB2312" w:hAnsi="仿宋" w:hint="eastAsia"/>
          <w:sz w:val="32"/>
          <w:szCs w:val="32"/>
        </w:rPr>
        <w:t>其他商品和服务支出</w:t>
      </w:r>
      <w:r>
        <w:rPr>
          <w:rFonts w:ascii="仿宋_GB2312" w:eastAsia="仿宋_GB2312" w:hAnsi="仿宋_GB2312" w:cs="仿宋_GB2312" w:hint="eastAsia"/>
          <w:kern w:val="0"/>
          <w:sz w:val="32"/>
          <w:szCs w:val="32"/>
        </w:rPr>
        <w:t>。</w:t>
      </w:r>
    </w:p>
    <w:p w14:paraId="2E349F65"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七、关于2023年政府性基金预算支出表的说明</w:t>
      </w:r>
    </w:p>
    <w:p w14:paraId="33D3AED3"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淮北仲裁委员会秘书处2023年没有政府性基金预算拨款收入，也没有使用政府性基金预算拨款安排的支出。</w:t>
      </w:r>
    </w:p>
    <w:p w14:paraId="5AE692EB"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八、关于2023年国有资本经营预算支出表的说明</w:t>
      </w:r>
    </w:p>
    <w:p w14:paraId="5A9F1909"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淮北仲裁委员会秘书处2023年没有国有资本经营预算拨款收入，也没有使用国有资本经营预算拨款安排的支出。</w:t>
      </w:r>
    </w:p>
    <w:p w14:paraId="24905C0B"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九、关于2023年项目支出表的说明</w:t>
      </w:r>
    </w:p>
    <w:p w14:paraId="5127C971"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仲裁委员会秘书处2023年预算共安排项目支出165.99万元，比2022年预算增加12.64万元，增长8.24%，原因主要是新采购公务车辆。主要包括：本年财政拨款安排165.99万元（其中，一般公共预算拨款安排165.99万元，政府性基金预算拨款安排0万元），财政专户管理资金安排0万元。</w:t>
      </w:r>
    </w:p>
    <w:p w14:paraId="7E67DDC5"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十、关于2023年政府采购支出表的说明</w:t>
      </w:r>
    </w:p>
    <w:p w14:paraId="71B3DA15"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仲裁委员会秘书处2023年预算安排政府采购支出19.6万元，比2022年预算增加18万元，增长91.84%，原因主要是新采购公务车辆。（其中，一般公共预算拨款安排19.6万元，政府性基金预算拨款安排0万元），财政专户管理资金安排0万元。</w:t>
      </w:r>
    </w:p>
    <w:p w14:paraId="1BC239DD"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t>十一、关于2023年政府购买服务支出表的说明</w:t>
      </w:r>
    </w:p>
    <w:p w14:paraId="05328BDC"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淮北仲裁委员会秘书处2023年没有安排政府购买服务支出。</w:t>
      </w:r>
    </w:p>
    <w:p w14:paraId="7F2C2FB7" w14:textId="77777777" w:rsidR="0040049C" w:rsidRDefault="00000000">
      <w:pPr>
        <w:pStyle w:val="a4"/>
        <w:adjustRightInd w:val="0"/>
        <w:snapToGrid w:val="0"/>
        <w:spacing w:line="560" w:lineRule="exact"/>
        <w:ind w:firstLineChars="196" w:firstLine="627"/>
        <w:rPr>
          <w:rFonts w:ascii="黑体" w:eastAsia="黑体" w:hAnsi="黑体" w:cs="黑体" w:hint="eastAsia"/>
          <w:bCs/>
          <w:sz w:val="32"/>
          <w:szCs w:val="32"/>
        </w:rPr>
      </w:pPr>
      <w:r>
        <w:rPr>
          <w:rFonts w:ascii="黑体" w:eastAsia="黑体" w:hAnsi="黑体" w:cs="黑体" w:hint="eastAsia"/>
          <w:bCs/>
          <w:sz w:val="32"/>
          <w:szCs w:val="32"/>
        </w:rPr>
        <w:lastRenderedPageBreak/>
        <w:t>十二、其他重要事项情况说明</w:t>
      </w:r>
    </w:p>
    <w:p w14:paraId="5D2F738B" w14:textId="77777777" w:rsidR="0040049C" w:rsidRDefault="00000000">
      <w:pPr>
        <w:adjustRightInd w:val="0"/>
        <w:snapToGrid w:val="0"/>
        <w:spacing w:line="58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（一）项目及绩效目标情况。</w:t>
      </w:r>
    </w:p>
    <w:p w14:paraId="00708347"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1、“办案经费”项目。</w:t>
      </w:r>
    </w:p>
    <w:p w14:paraId="7768DDDB"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（1）项目概述。</w:t>
      </w:r>
      <w:r>
        <w:rPr>
          <w:rFonts w:ascii="仿宋_GB2312" w:eastAsia="仿宋_GB2312" w:hAnsi="仿宋" w:hint="eastAsia"/>
          <w:sz w:val="32"/>
          <w:szCs w:val="32"/>
        </w:rPr>
        <w:t>淮北仲裁委员会于1997年7月成立，由淮北市人民政府根据中华人民共和国仲裁法设立行使仲裁权的事业单位，根据淮北市有关文件精神，我</w:t>
      </w:r>
      <w:proofErr w:type="gramStart"/>
      <w:r>
        <w:rPr>
          <w:rFonts w:ascii="仿宋_GB2312" w:eastAsia="仿宋_GB2312" w:hAnsi="仿宋" w:hint="eastAsia"/>
          <w:sz w:val="32"/>
          <w:szCs w:val="32"/>
        </w:rPr>
        <w:t>委属于</w:t>
      </w:r>
      <w:proofErr w:type="gramEnd"/>
      <w:r>
        <w:rPr>
          <w:rFonts w:ascii="仿宋_GB2312" w:eastAsia="仿宋_GB2312" w:hAnsi="仿宋" w:hint="eastAsia"/>
          <w:sz w:val="32"/>
          <w:szCs w:val="32"/>
        </w:rPr>
        <w:t>有收入的事业单位，负责仲裁案件的受理和立案。</w:t>
      </w:r>
      <w:r>
        <w:rPr>
          <w:rFonts w:ascii="仿宋_GB2312" w:eastAsia="仿宋_GB2312" w:hAnsi="仿宋_GB2312" w:cs="仿宋_GB2312" w:hint="eastAsia"/>
          <w:kern w:val="0"/>
          <w:sz w:val="32"/>
          <w:szCs w:val="32"/>
        </w:rPr>
        <w:t>用于淮北仲裁委员会秘书处日常开支。</w:t>
      </w:r>
    </w:p>
    <w:p w14:paraId="0D141B11"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（2）立项依据。《中华人民共和国仲裁法》；</w:t>
      </w:r>
      <w:r>
        <w:rPr>
          <w:rFonts w:ascii="仿宋_GB2312" w:eastAsia="仿宋_GB2312" w:hAnsi="仿宋_GB2312" w:cs="仿宋_GB2312" w:hint="eastAsia"/>
          <w:sz w:val="32"/>
          <w:szCs w:val="32"/>
        </w:rPr>
        <w:t>中共中央办公厅 国务院办公厅《关于完善仲裁制度提高仲裁公信力的若干意见》（中办发〔2018〕76号）；中共安徽省委全面依法治省委员会《关于完善仲裁制度提高仲裁公信力的实施意见》（皖法办发〔2019〕21号）。</w:t>
      </w:r>
    </w:p>
    <w:p w14:paraId="575F079B"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（3）实施主体。</w:t>
      </w:r>
      <w:r>
        <w:rPr>
          <w:rFonts w:ascii="仿宋_GB2312" w:eastAsia="仿宋_GB2312" w:hAnsi="楷体" w:hint="eastAsia"/>
          <w:sz w:val="32"/>
          <w:szCs w:val="32"/>
        </w:rPr>
        <w:t>淮北仲裁委员会秘书处。</w:t>
      </w:r>
    </w:p>
    <w:p w14:paraId="73B3BA7E"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（4）起止时间。2024年1-12月。</w:t>
      </w:r>
    </w:p>
    <w:p w14:paraId="51067746"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（5）项目内容。用于淮北仲裁委员会秘书处日常开支。</w:t>
      </w:r>
    </w:p>
    <w:p w14:paraId="001A89E2"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（6）年度预算安排。54.65万元。</w:t>
      </w:r>
    </w:p>
    <w:p w14:paraId="6CB535E7" w14:textId="7EE1D0BB" w:rsidR="002D3ACF" w:rsidRPr="002D3ACF" w:rsidRDefault="00000000" w:rsidP="002D3ACF">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（7）绩效目标。</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442"/>
        <w:gridCol w:w="980"/>
        <w:gridCol w:w="788"/>
        <w:gridCol w:w="1606"/>
        <w:gridCol w:w="1170"/>
        <w:gridCol w:w="2055"/>
      </w:tblGrid>
      <w:tr w:rsidR="0040049C" w14:paraId="7273F69A" w14:textId="77777777">
        <w:trPr>
          <w:trHeight w:val="253"/>
        </w:trPr>
        <w:tc>
          <w:tcPr>
            <w:tcW w:w="9020" w:type="dxa"/>
            <w:gridSpan w:val="7"/>
            <w:tcBorders>
              <w:top w:val="nil"/>
              <w:left w:val="nil"/>
              <w:bottom w:val="nil"/>
              <w:right w:val="nil"/>
            </w:tcBorders>
            <w:vAlign w:val="center"/>
          </w:tcPr>
          <w:p w14:paraId="445B024C" w14:textId="77777777" w:rsidR="0040049C" w:rsidRDefault="00000000">
            <w:pPr>
              <w:widowControl/>
              <w:jc w:val="center"/>
              <w:textAlignment w:val="center"/>
              <w:rPr>
                <w:rFonts w:ascii="仿宋_GB2312" w:eastAsia="仿宋_GB2312" w:hAnsi="仿宋_GB2312" w:cs="仿宋_GB2312" w:hint="eastAsia"/>
                <w:b/>
                <w:bCs/>
                <w:szCs w:val="32"/>
              </w:rPr>
            </w:pPr>
            <w:r>
              <w:rPr>
                <w:rFonts w:ascii="宋体" w:eastAsia="宋体" w:hAnsi="宋体" w:cs="宋体" w:hint="eastAsia"/>
                <w:color w:val="000000"/>
                <w:kern w:val="0"/>
                <w:sz w:val="40"/>
                <w:szCs w:val="40"/>
                <w:lang w:bidi="ar"/>
              </w:rPr>
              <w:t>项目支出绩效目标表</w:t>
            </w:r>
          </w:p>
        </w:tc>
      </w:tr>
      <w:tr w:rsidR="0040049C" w14:paraId="55C74DDD" w14:textId="77777777">
        <w:trPr>
          <w:trHeight w:val="270"/>
        </w:trPr>
        <w:tc>
          <w:tcPr>
            <w:tcW w:w="9020" w:type="dxa"/>
            <w:gridSpan w:val="7"/>
            <w:tcBorders>
              <w:top w:val="nil"/>
              <w:left w:val="nil"/>
              <w:right w:val="nil"/>
            </w:tcBorders>
            <w:vAlign w:val="center"/>
          </w:tcPr>
          <w:p w14:paraId="65C871EC"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 xml:space="preserve"> （2024年度）                                </w:t>
            </w:r>
          </w:p>
        </w:tc>
      </w:tr>
      <w:tr w:rsidR="0040049C" w14:paraId="32C4439E" w14:textId="77777777">
        <w:trPr>
          <w:trHeight w:val="330"/>
        </w:trPr>
        <w:tc>
          <w:tcPr>
            <w:tcW w:w="3401" w:type="dxa"/>
            <w:gridSpan w:val="3"/>
            <w:tcBorders>
              <w:tl2br w:val="nil"/>
              <w:tr2bl w:val="nil"/>
            </w:tcBorders>
            <w:vAlign w:val="center"/>
          </w:tcPr>
          <w:p w14:paraId="5A02FD09"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项目名称</w:t>
            </w:r>
          </w:p>
        </w:tc>
        <w:tc>
          <w:tcPr>
            <w:tcW w:w="5619" w:type="dxa"/>
            <w:gridSpan w:val="4"/>
            <w:tcBorders>
              <w:tl2br w:val="nil"/>
              <w:tr2bl w:val="nil"/>
            </w:tcBorders>
            <w:vAlign w:val="center"/>
          </w:tcPr>
          <w:p w14:paraId="3FB235BC"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办案经费</w:t>
            </w:r>
          </w:p>
        </w:tc>
      </w:tr>
      <w:tr w:rsidR="0040049C" w14:paraId="73533BCD" w14:textId="77777777">
        <w:trPr>
          <w:trHeight w:val="491"/>
        </w:trPr>
        <w:tc>
          <w:tcPr>
            <w:tcW w:w="3401" w:type="dxa"/>
            <w:gridSpan w:val="3"/>
            <w:tcBorders>
              <w:tl2br w:val="nil"/>
              <w:tr2bl w:val="nil"/>
            </w:tcBorders>
            <w:vAlign w:val="center"/>
          </w:tcPr>
          <w:p w14:paraId="2E62C177"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主管部门及代码</w:t>
            </w:r>
          </w:p>
        </w:tc>
        <w:tc>
          <w:tcPr>
            <w:tcW w:w="2394" w:type="dxa"/>
            <w:gridSpan w:val="2"/>
            <w:tcBorders>
              <w:tl2br w:val="nil"/>
              <w:tr2bl w:val="nil"/>
            </w:tcBorders>
            <w:vAlign w:val="center"/>
          </w:tcPr>
          <w:p w14:paraId="1DA4CD7F"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淮北市司法局</w:t>
            </w:r>
          </w:p>
        </w:tc>
        <w:tc>
          <w:tcPr>
            <w:tcW w:w="1170" w:type="dxa"/>
            <w:tcBorders>
              <w:tl2br w:val="nil"/>
              <w:tr2bl w:val="nil"/>
            </w:tcBorders>
            <w:vAlign w:val="center"/>
          </w:tcPr>
          <w:p w14:paraId="566C3DC1" w14:textId="77777777" w:rsidR="0040049C" w:rsidRDefault="00000000">
            <w:pPr>
              <w:widowControl/>
              <w:jc w:val="left"/>
              <w:textAlignment w:val="center"/>
              <w:rPr>
                <w:rFonts w:ascii="仿宋_GB2312" w:eastAsia="仿宋_GB2312" w:hAnsi="仿宋_GB2312" w:cs="仿宋_GB2312" w:hint="eastAsia"/>
              </w:rPr>
            </w:pPr>
            <w:r>
              <w:rPr>
                <w:rFonts w:ascii="宋体" w:eastAsia="宋体" w:hAnsi="宋体" w:cs="宋体" w:hint="eastAsia"/>
                <w:color w:val="000000"/>
                <w:kern w:val="0"/>
                <w:sz w:val="20"/>
                <w:szCs w:val="20"/>
                <w:lang w:bidi="ar"/>
              </w:rPr>
              <w:t>实施单位</w:t>
            </w:r>
          </w:p>
        </w:tc>
        <w:tc>
          <w:tcPr>
            <w:tcW w:w="2055" w:type="dxa"/>
            <w:tcBorders>
              <w:tl2br w:val="nil"/>
              <w:tr2bl w:val="nil"/>
            </w:tcBorders>
            <w:vAlign w:val="center"/>
          </w:tcPr>
          <w:p w14:paraId="1189ECEF" w14:textId="77777777" w:rsidR="0040049C" w:rsidRDefault="00000000">
            <w:pPr>
              <w:widowControl/>
              <w:jc w:val="center"/>
              <w:textAlignment w:val="center"/>
              <w:rPr>
                <w:rFonts w:ascii="仿宋_GB2312" w:eastAsia="仿宋_GB2312" w:hAnsi="仿宋_GB2312" w:cs="仿宋_GB2312" w:hint="eastAsia"/>
              </w:rPr>
            </w:pPr>
            <w:r>
              <w:rPr>
                <w:rFonts w:ascii="宋体" w:eastAsia="宋体" w:hAnsi="宋体" w:cs="宋体" w:hint="eastAsia"/>
                <w:color w:val="000000"/>
                <w:kern w:val="0"/>
                <w:szCs w:val="21"/>
                <w:lang w:bidi="ar"/>
              </w:rPr>
              <w:t>淮北仲裁委员会秘书处</w:t>
            </w:r>
          </w:p>
        </w:tc>
      </w:tr>
      <w:tr w:rsidR="0040049C" w14:paraId="14A3BA21" w14:textId="77777777">
        <w:trPr>
          <w:trHeight w:val="330"/>
        </w:trPr>
        <w:tc>
          <w:tcPr>
            <w:tcW w:w="3401" w:type="dxa"/>
            <w:gridSpan w:val="3"/>
            <w:tcBorders>
              <w:tl2br w:val="nil"/>
              <w:tr2bl w:val="nil"/>
            </w:tcBorders>
            <w:vAlign w:val="center"/>
          </w:tcPr>
          <w:p w14:paraId="5B2A2367"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项目来源</w:t>
            </w:r>
          </w:p>
        </w:tc>
        <w:tc>
          <w:tcPr>
            <w:tcW w:w="2394" w:type="dxa"/>
            <w:gridSpan w:val="2"/>
            <w:tcBorders>
              <w:tl2br w:val="nil"/>
              <w:tr2bl w:val="nil"/>
            </w:tcBorders>
            <w:vAlign w:val="center"/>
          </w:tcPr>
          <w:p w14:paraId="7A9D110A" w14:textId="77777777" w:rsidR="0040049C" w:rsidRDefault="00000000">
            <w:pPr>
              <w:jc w:val="center"/>
              <w:rPr>
                <w:rFonts w:ascii="仿宋_GB2312" w:eastAsia="仿宋_GB2312" w:hAnsi="仿宋_GB2312" w:cs="仿宋_GB2312" w:hint="eastAsia"/>
                <w:sz w:val="20"/>
              </w:rPr>
            </w:pPr>
            <w:r>
              <w:rPr>
                <w:rFonts w:ascii="宋体" w:hAnsi="宋体" w:cs="宋体" w:hint="eastAsia"/>
                <w:kern w:val="0"/>
                <w:sz w:val="20"/>
                <w:szCs w:val="20"/>
              </w:rPr>
              <w:t>经常性项目</w:t>
            </w:r>
          </w:p>
        </w:tc>
        <w:tc>
          <w:tcPr>
            <w:tcW w:w="1170" w:type="dxa"/>
            <w:tcBorders>
              <w:tl2br w:val="nil"/>
              <w:tr2bl w:val="nil"/>
            </w:tcBorders>
            <w:vAlign w:val="center"/>
          </w:tcPr>
          <w:p w14:paraId="76A398AD" w14:textId="77777777" w:rsidR="0040049C" w:rsidRDefault="00000000">
            <w:pPr>
              <w:widowControl/>
              <w:jc w:val="left"/>
              <w:textAlignment w:val="center"/>
              <w:rPr>
                <w:rFonts w:ascii="仿宋_GB2312" w:eastAsia="仿宋_GB2312" w:hAnsi="仿宋_GB2312" w:cs="仿宋_GB2312" w:hint="eastAsia"/>
              </w:rPr>
            </w:pPr>
            <w:r>
              <w:rPr>
                <w:rFonts w:ascii="宋体" w:eastAsia="宋体" w:hAnsi="宋体" w:cs="宋体" w:hint="eastAsia"/>
                <w:color w:val="000000"/>
                <w:kern w:val="0"/>
                <w:sz w:val="20"/>
                <w:szCs w:val="20"/>
                <w:lang w:bidi="ar"/>
              </w:rPr>
              <w:t>项目期</w:t>
            </w:r>
          </w:p>
        </w:tc>
        <w:tc>
          <w:tcPr>
            <w:tcW w:w="2055" w:type="dxa"/>
            <w:tcBorders>
              <w:tl2br w:val="nil"/>
              <w:tr2bl w:val="nil"/>
            </w:tcBorders>
            <w:vAlign w:val="center"/>
          </w:tcPr>
          <w:p w14:paraId="7D252259" w14:textId="77777777" w:rsidR="0040049C" w:rsidRDefault="00000000">
            <w:pPr>
              <w:widowControl/>
              <w:jc w:val="center"/>
              <w:textAlignment w:val="center"/>
              <w:rPr>
                <w:rFonts w:ascii="仿宋_GB2312" w:eastAsia="仿宋_GB2312" w:hAnsi="仿宋_GB2312" w:cs="仿宋_GB2312" w:hint="eastAsia"/>
              </w:rPr>
            </w:pPr>
            <w:r>
              <w:rPr>
                <w:rStyle w:val="font11"/>
                <w:rFonts w:eastAsia="宋体"/>
                <w:lang w:bidi="ar"/>
              </w:rPr>
              <w:t>202</w:t>
            </w:r>
            <w:r>
              <w:rPr>
                <w:rStyle w:val="font11"/>
                <w:rFonts w:eastAsia="宋体" w:hint="eastAsia"/>
                <w:lang w:bidi="ar"/>
              </w:rPr>
              <w:t>4</w:t>
            </w:r>
            <w:r>
              <w:rPr>
                <w:rStyle w:val="font21"/>
                <w:rFonts w:hint="default"/>
                <w:lang w:bidi="ar"/>
              </w:rPr>
              <w:t>年</w:t>
            </w:r>
          </w:p>
        </w:tc>
      </w:tr>
      <w:tr w:rsidR="0040049C" w14:paraId="57568CFB" w14:textId="77777777">
        <w:trPr>
          <w:trHeight w:val="330"/>
        </w:trPr>
        <w:tc>
          <w:tcPr>
            <w:tcW w:w="3401" w:type="dxa"/>
            <w:gridSpan w:val="3"/>
            <w:vMerge w:val="restart"/>
            <w:tcBorders>
              <w:tl2br w:val="nil"/>
              <w:tr2bl w:val="nil"/>
            </w:tcBorders>
            <w:vAlign w:val="center"/>
          </w:tcPr>
          <w:p w14:paraId="682838F6"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lastRenderedPageBreak/>
              <w:t>项目资金（万元）</w:t>
            </w:r>
          </w:p>
        </w:tc>
        <w:tc>
          <w:tcPr>
            <w:tcW w:w="2394" w:type="dxa"/>
            <w:gridSpan w:val="2"/>
            <w:tcBorders>
              <w:tl2br w:val="nil"/>
              <w:tr2bl w:val="nil"/>
            </w:tcBorders>
            <w:vAlign w:val="center"/>
          </w:tcPr>
          <w:p w14:paraId="6A1E1F50"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 xml:space="preserve"> 年度资金总额：</w:t>
            </w:r>
          </w:p>
        </w:tc>
        <w:tc>
          <w:tcPr>
            <w:tcW w:w="3225" w:type="dxa"/>
            <w:gridSpan w:val="2"/>
            <w:tcBorders>
              <w:tl2br w:val="nil"/>
              <w:tr2bl w:val="nil"/>
            </w:tcBorders>
            <w:vAlign w:val="center"/>
          </w:tcPr>
          <w:p w14:paraId="20A43A1F" w14:textId="77777777" w:rsidR="0040049C" w:rsidRDefault="00000000">
            <w:pPr>
              <w:widowControl/>
              <w:jc w:val="righ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54.65</w:t>
            </w:r>
          </w:p>
        </w:tc>
      </w:tr>
      <w:tr w:rsidR="0040049C" w14:paraId="7613F5A0" w14:textId="77777777">
        <w:trPr>
          <w:trHeight w:val="330"/>
        </w:trPr>
        <w:tc>
          <w:tcPr>
            <w:tcW w:w="3401" w:type="dxa"/>
            <w:gridSpan w:val="3"/>
            <w:vMerge/>
            <w:tcBorders>
              <w:tl2br w:val="nil"/>
              <w:tr2bl w:val="nil"/>
            </w:tcBorders>
            <w:vAlign w:val="center"/>
          </w:tcPr>
          <w:p w14:paraId="2E6B4B3B" w14:textId="77777777" w:rsidR="0040049C" w:rsidRDefault="0040049C">
            <w:pPr>
              <w:jc w:val="center"/>
              <w:rPr>
                <w:rFonts w:ascii="仿宋_GB2312" w:eastAsia="仿宋_GB2312" w:hAnsi="仿宋_GB2312" w:cs="仿宋_GB2312" w:hint="eastAsia"/>
                <w:sz w:val="20"/>
              </w:rPr>
            </w:pPr>
          </w:p>
        </w:tc>
        <w:tc>
          <w:tcPr>
            <w:tcW w:w="2394" w:type="dxa"/>
            <w:gridSpan w:val="2"/>
            <w:tcBorders>
              <w:tl2br w:val="nil"/>
              <w:tr2bl w:val="nil"/>
            </w:tcBorders>
            <w:vAlign w:val="center"/>
          </w:tcPr>
          <w:p w14:paraId="6531EC4D"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 xml:space="preserve">   其中：财政拨款</w:t>
            </w:r>
          </w:p>
        </w:tc>
        <w:tc>
          <w:tcPr>
            <w:tcW w:w="3225" w:type="dxa"/>
            <w:gridSpan w:val="2"/>
            <w:tcBorders>
              <w:tl2br w:val="nil"/>
              <w:tr2bl w:val="nil"/>
            </w:tcBorders>
            <w:vAlign w:val="center"/>
          </w:tcPr>
          <w:p w14:paraId="474325F5" w14:textId="77777777" w:rsidR="0040049C" w:rsidRDefault="00000000">
            <w:pPr>
              <w:widowControl/>
              <w:jc w:val="righ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54.65</w:t>
            </w:r>
          </w:p>
        </w:tc>
      </w:tr>
      <w:tr w:rsidR="0040049C" w14:paraId="3047E0A8" w14:textId="77777777">
        <w:trPr>
          <w:trHeight w:val="330"/>
        </w:trPr>
        <w:tc>
          <w:tcPr>
            <w:tcW w:w="3401" w:type="dxa"/>
            <w:gridSpan w:val="3"/>
            <w:vMerge/>
            <w:tcBorders>
              <w:tl2br w:val="nil"/>
              <w:tr2bl w:val="nil"/>
            </w:tcBorders>
            <w:vAlign w:val="center"/>
          </w:tcPr>
          <w:p w14:paraId="76C30238" w14:textId="77777777" w:rsidR="0040049C" w:rsidRDefault="0040049C">
            <w:pPr>
              <w:jc w:val="center"/>
              <w:rPr>
                <w:rFonts w:ascii="仿宋_GB2312" w:eastAsia="仿宋_GB2312" w:hAnsi="仿宋_GB2312" w:cs="仿宋_GB2312" w:hint="eastAsia"/>
                <w:sz w:val="20"/>
              </w:rPr>
            </w:pPr>
          </w:p>
        </w:tc>
        <w:tc>
          <w:tcPr>
            <w:tcW w:w="2394" w:type="dxa"/>
            <w:gridSpan w:val="2"/>
            <w:tcBorders>
              <w:tl2br w:val="nil"/>
              <w:tr2bl w:val="nil"/>
            </w:tcBorders>
            <w:vAlign w:val="center"/>
          </w:tcPr>
          <w:p w14:paraId="32390B5E"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 xml:space="preserve">         上年结转</w:t>
            </w:r>
          </w:p>
        </w:tc>
        <w:tc>
          <w:tcPr>
            <w:tcW w:w="3225" w:type="dxa"/>
            <w:gridSpan w:val="2"/>
            <w:tcBorders>
              <w:tl2br w:val="nil"/>
              <w:tr2bl w:val="nil"/>
            </w:tcBorders>
            <w:vAlign w:val="center"/>
          </w:tcPr>
          <w:p w14:paraId="5175D3B6" w14:textId="77777777" w:rsidR="0040049C" w:rsidRDefault="00000000">
            <w:pPr>
              <w:widowControl/>
              <w:jc w:val="righ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0</w:t>
            </w:r>
          </w:p>
        </w:tc>
      </w:tr>
      <w:tr w:rsidR="0040049C" w14:paraId="1E9ADF49" w14:textId="77777777">
        <w:trPr>
          <w:trHeight w:val="330"/>
        </w:trPr>
        <w:tc>
          <w:tcPr>
            <w:tcW w:w="3401" w:type="dxa"/>
            <w:gridSpan w:val="3"/>
            <w:vMerge/>
            <w:tcBorders>
              <w:tl2br w:val="nil"/>
              <w:tr2bl w:val="nil"/>
            </w:tcBorders>
            <w:vAlign w:val="center"/>
          </w:tcPr>
          <w:p w14:paraId="50826A51" w14:textId="77777777" w:rsidR="0040049C" w:rsidRDefault="0040049C">
            <w:pPr>
              <w:jc w:val="center"/>
              <w:rPr>
                <w:rFonts w:ascii="仿宋_GB2312" w:eastAsia="仿宋_GB2312" w:hAnsi="仿宋_GB2312" w:cs="仿宋_GB2312" w:hint="eastAsia"/>
                <w:sz w:val="20"/>
              </w:rPr>
            </w:pPr>
          </w:p>
        </w:tc>
        <w:tc>
          <w:tcPr>
            <w:tcW w:w="2394" w:type="dxa"/>
            <w:gridSpan w:val="2"/>
            <w:tcBorders>
              <w:tl2br w:val="nil"/>
              <w:tr2bl w:val="nil"/>
            </w:tcBorders>
            <w:vAlign w:val="center"/>
          </w:tcPr>
          <w:p w14:paraId="363584BC"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 xml:space="preserve">         其他资金</w:t>
            </w:r>
          </w:p>
        </w:tc>
        <w:tc>
          <w:tcPr>
            <w:tcW w:w="3225" w:type="dxa"/>
            <w:gridSpan w:val="2"/>
            <w:tcBorders>
              <w:tl2br w:val="nil"/>
              <w:tr2bl w:val="nil"/>
            </w:tcBorders>
            <w:vAlign w:val="center"/>
          </w:tcPr>
          <w:p w14:paraId="3E31FBEF" w14:textId="77777777" w:rsidR="0040049C" w:rsidRDefault="00000000">
            <w:pPr>
              <w:widowControl/>
              <w:jc w:val="righ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0</w:t>
            </w:r>
          </w:p>
        </w:tc>
      </w:tr>
      <w:tr w:rsidR="0040049C" w14:paraId="3FB9CB21" w14:textId="77777777">
        <w:trPr>
          <w:trHeight w:val="1015"/>
        </w:trPr>
        <w:tc>
          <w:tcPr>
            <w:tcW w:w="979" w:type="dxa"/>
            <w:tcBorders>
              <w:tl2br w:val="nil"/>
              <w:tr2bl w:val="nil"/>
            </w:tcBorders>
            <w:vAlign w:val="center"/>
          </w:tcPr>
          <w:p w14:paraId="3674B6BB"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年度目标</w:t>
            </w:r>
          </w:p>
        </w:tc>
        <w:tc>
          <w:tcPr>
            <w:tcW w:w="8041" w:type="dxa"/>
            <w:gridSpan w:val="6"/>
            <w:tcBorders>
              <w:tl2br w:val="nil"/>
              <w:tr2bl w:val="nil"/>
            </w:tcBorders>
            <w:vAlign w:val="center"/>
          </w:tcPr>
          <w:p w14:paraId="3692FB27"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用于淮北仲裁委员会秘书处日常开支，办理仲裁案件的受理、立案、文书送达等。</w:t>
            </w:r>
          </w:p>
        </w:tc>
      </w:tr>
      <w:tr w:rsidR="0040049C" w14:paraId="062A7458" w14:textId="77777777">
        <w:trPr>
          <w:trHeight w:val="508"/>
        </w:trPr>
        <w:tc>
          <w:tcPr>
            <w:tcW w:w="979" w:type="dxa"/>
            <w:vMerge w:val="restart"/>
            <w:tcBorders>
              <w:tl2br w:val="nil"/>
              <w:tr2bl w:val="nil"/>
            </w:tcBorders>
            <w:vAlign w:val="center"/>
          </w:tcPr>
          <w:p w14:paraId="55B28129"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绩效指标</w:t>
            </w:r>
          </w:p>
        </w:tc>
        <w:tc>
          <w:tcPr>
            <w:tcW w:w="1442" w:type="dxa"/>
            <w:tcBorders>
              <w:tl2br w:val="nil"/>
              <w:tr2bl w:val="nil"/>
            </w:tcBorders>
            <w:vAlign w:val="center"/>
          </w:tcPr>
          <w:p w14:paraId="3C11E95F"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一级指标</w:t>
            </w:r>
          </w:p>
        </w:tc>
        <w:tc>
          <w:tcPr>
            <w:tcW w:w="1768" w:type="dxa"/>
            <w:gridSpan w:val="2"/>
            <w:tcBorders>
              <w:tl2br w:val="nil"/>
              <w:tr2bl w:val="nil"/>
            </w:tcBorders>
            <w:vAlign w:val="center"/>
          </w:tcPr>
          <w:p w14:paraId="1632B56F"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二级指标</w:t>
            </w:r>
          </w:p>
        </w:tc>
        <w:tc>
          <w:tcPr>
            <w:tcW w:w="1606" w:type="dxa"/>
            <w:tcBorders>
              <w:tl2br w:val="nil"/>
              <w:tr2bl w:val="nil"/>
            </w:tcBorders>
            <w:vAlign w:val="center"/>
          </w:tcPr>
          <w:p w14:paraId="32672796"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三级指标</w:t>
            </w:r>
          </w:p>
        </w:tc>
        <w:tc>
          <w:tcPr>
            <w:tcW w:w="3225" w:type="dxa"/>
            <w:gridSpan w:val="2"/>
            <w:tcBorders>
              <w:tl2br w:val="nil"/>
              <w:tr2bl w:val="nil"/>
            </w:tcBorders>
            <w:vAlign w:val="center"/>
          </w:tcPr>
          <w:p w14:paraId="3A666B2D" w14:textId="77777777" w:rsidR="0040049C" w:rsidRDefault="00000000">
            <w:pPr>
              <w:widowControl/>
              <w:jc w:val="center"/>
              <w:textAlignment w:val="center"/>
            </w:pPr>
            <w:r>
              <w:rPr>
                <w:rFonts w:ascii="宋体" w:eastAsia="宋体" w:hAnsi="宋体" w:cs="宋体" w:hint="eastAsia"/>
                <w:color w:val="000000"/>
                <w:kern w:val="0"/>
                <w:sz w:val="20"/>
                <w:szCs w:val="20"/>
                <w:lang w:bidi="ar"/>
              </w:rPr>
              <w:t>指标值</w:t>
            </w:r>
          </w:p>
        </w:tc>
      </w:tr>
      <w:tr w:rsidR="0040049C" w14:paraId="2DAB2611" w14:textId="77777777">
        <w:trPr>
          <w:trHeight w:val="363"/>
        </w:trPr>
        <w:tc>
          <w:tcPr>
            <w:tcW w:w="979" w:type="dxa"/>
            <w:vMerge/>
            <w:tcBorders>
              <w:tl2br w:val="nil"/>
              <w:tr2bl w:val="nil"/>
            </w:tcBorders>
            <w:vAlign w:val="center"/>
          </w:tcPr>
          <w:p w14:paraId="25BE0307" w14:textId="77777777" w:rsidR="0040049C" w:rsidRDefault="0040049C">
            <w:pPr>
              <w:jc w:val="center"/>
              <w:rPr>
                <w:rFonts w:ascii="仿宋_GB2312" w:eastAsia="仿宋_GB2312" w:hAnsi="仿宋_GB2312" w:cs="仿宋_GB2312" w:hint="eastAsia"/>
                <w:sz w:val="20"/>
              </w:rPr>
            </w:pPr>
          </w:p>
        </w:tc>
        <w:tc>
          <w:tcPr>
            <w:tcW w:w="1442" w:type="dxa"/>
            <w:vMerge w:val="restart"/>
            <w:tcBorders>
              <w:tl2br w:val="nil"/>
              <w:tr2bl w:val="nil"/>
            </w:tcBorders>
            <w:vAlign w:val="center"/>
          </w:tcPr>
          <w:p w14:paraId="0586D9B8"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产出指标</w:t>
            </w:r>
          </w:p>
        </w:tc>
        <w:tc>
          <w:tcPr>
            <w:tcW w:w="1768" w:type="dxa"/>
            <w:gridSpan w:val="2"/>
            <w:tcBorders>
              <w:tl2br w:val="nil"/>
              <w:tr2bl w:val="nil"/>
            </w:tcBorders>
            <w:vAlign w:val="center"/>
          </w:tcPr>
          <w:p w14:paraId="215B27D6"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数量指标</w:t>
            </w:r>
          </w:p>
        </w:tc>
        <w:tc>
          <w:tcPr>
            <w:tcW w:w="1606" w:type="dxa"/>
            <w:tcBorders>
              <w:tl2br w:val="nil"/>
              <w:tr2bl w:val="nil"/>
            </w:tcBorders>
            <w:vAlign w:val="center"/>
          </w:tcPr>
          <w:p w14:paraId="4113F4DD"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指标1：受理民商事仲裁案件</w:t>
            </w:r>
          </w:p>
        </w:tc>
        <w:tc>
          <w:tcPr>
            <w:tcW w:w="3225" w:type="dxa"/>
            <w:gridSpan w:val="2"/>
            <w:tcBorders>
              <w:tl2br w:val="nil"/>
              <w:tr2bl w:val="nil"/>
            </w:tcBorders>
            <w:vAlign w:val="center"/>
          </w:tcPr>
          <w:p w14:paraId="35A59E00" w14:textId="77777777" w:rsidR="0040049C" w:rsidRDefault="00000000">
            <w:pPr>
              <w:widowControl/>
              <w:jc w:val="center"/>
              <w:textAlignment w:val="center"/>
            </w:pPr>
            <w:r>
              <w:rPr>
                <w:rFonts w:ascii="宋体" w:eastAsia="宋体" w:hAnsi="宋体" w:cs="宋体" w:hint="eastAsia"/>
                <w:color w:val="000000"/>
                <w:kern w:val="0"/>
                <w:sz w:val="20"/>
                <w:szCs w:val="20"/>
                <w:lang w:bidi="ar"/>
              </w:rPr>
              <w:t>受理民商事仲裁案件400件</w:t>
            </w:r>
          </w:p>
        </w:tc>
      </w:tr>
      <w:tr w:rsidR="0040049C" w14:paraId="603BBF42" w14:textId="77777777">
        <w:trPr>
          <w:trHeight w:val="363"/>
        </w:trPr>
        <w:tc>
          <w:tcPr>
            <w:tcW w:w="979" w:type="dxa"/>
            <w:vMerge/>
            <w:tcBorders>
              <w:tl2br w:val="nil"/>
              <w:tr2bl w:val="nil"/>
            </w:tcBorders>
            <w:vAlign w:val="center"/>
          </w:tcPr>
          <w:p w14:paraId="19E01945" w14:textId="77777777" w:rsidR="0040049C" w:rsidRDefault="0040049C">
            <w:pPr>
              <w:jc w:val="center"/>
              <w:rPr>
                <w:rFonts w:ascii="仿宋_GB2312" w:eastAsia="仿宋_GB2312" w:hAnsi="仿宋_GB2312" w:cs="仿宋_GB2312" w:hint="eastAsia"/>
                <w:sz w:val="20"/>
              </w:rPr>
            </w:pPr>
          </w:p>
        </w:tc>
        <w:tc>
          <w:tcPr>
            <w:tcW w:w="1442" w:type="dxa"/>
            <w:vMerge/>
            <w:tcBorders>
              <w:tl2br w:val="nil"/>
              <w:tr2bl w:val="nil"/>
            </w:tcBorders>
            <w:vAlign w:val="center"/>
          </w:tcPr>
          <w:p w14:paraId="45361D4B" w14:textId="77777777" w:rsidR="0040049C" w:rsidRDefault="0040049C">
            <w:pPr>
              <w:jc w:val="center"/>
              <w:rPr>
                <w:rFonts w:ascii="仿宋_GB2312" w:eastAsia="仿宋_GB2312" w:hAnsi="仿宋_GB2312" w:cs="仿宋_GB2312" w:hint="eastAsia"/>
                <w:sz w:val="20"/>
              </w:rPr>
            </w:pPr>
          </w:p>
        </w:tc>
        <w:tc>
          <w:tcPr>
            <w:tcW w:w="1768" w:type="dxa"/>
            <w:gridSpan w:val="2"/>
            <w:tcBorders>
              <w:tl2br w:val="nil"/>
              <w:tr2bl w:val="nil"/>
            </w:tcBorders>
            <w:vAlign w:val="center"/>
          </w:tcPr>
          <w:p w14:paraId="480EAD0C"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质量指标</w:t>
            </w:r>
          </w:p>
        </w:tc>
        <w:tc>
          <w:tcPr>
            <w:tcW w:w="1606" w:type="dxa"/>
            <w:tcBorders>
              <w:tl2br w:val="nil"/>
              <w:tr2bl w:val="nil"/>
            </w:tcBorders>
            <w:vAlign w:val="center"/>
          </w:tcPr>
          <w:p w14:paraId="7611874A"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指标1：各项费用及时支出</w:t>
            </w:r>
          </w:p>
        </w:tc>
        <w:tc>
          <w:tcPr>
            <w:tcW w:w="3225" w:type="dxa"/>
            <w:gridSpan w:val="2"/>
            <w:tcBorders>
              <w:tl2br w:val="nil"/>
              <w:tr2bl w:val="nil"/>
            </w:tcBorders>
            <w:vAlign w:val="center"/>
          </w:tcPr>
          <w:p w14:paraId="19800B3C" w14:textId="77777777" w:rsidR="0040049C" w:rsidRDefault="00000000">
            <w:pPr>
              <w:widowControl/>
              <w:jc w:val="center"/>
              <w:textAlignment w:val="center"/>
            </w:pPr>
            <w:r>
              <w:rPr>
                <w:rFonts w:ascii="宋体" w:eastAsia="宋体" w:hAnsi="宋体" w:cs="宋体" w:hint="eastAsia"/>
                <w:color w:val="000000"/>
                <w:kern w:val="0"/>
                <w:sz w:val="20"/>
                <w:szCs w:val="20"/>
                <w:lang w:bidi="ar"/>
              </w:rPr>
              <w:t>各项费用及时支出</w:t>
            </w:r>
          </w:p>
        </w:tc>
      </w:tr>
      <w:tr w:rsidR="0040049C" w14:paraId="0709D7F1" w14:textId="77777777">
        <w:trPr>
          <w:trHeight w:val="363"/>
        </w:trPr>
        <w:tc>
          <w:tcPr>
            <w:tcW w:w="979" w:type="dxa"/>
            <w:vMerge/>
            <w:tcBorders>
              <w:tl2br w:val="nil"/>
              <w:tr2bl w:val="nil"/>
            </w:tcBorders>
            <w:vAlign w:val="center"/>
          </w:tcPr>
          <w:p w14:paraId="6F25253C" w14:textId="77777777" w:rsidR="0040049C" w:rsidRDefault="0040049C">
            <w:pPr>
              <w:jc w:val="center"/>
              <w:rPr>
                <w:rFonts w:ascii="仿宋_GB2312" w:eastAsia="仿宋_GB2312" w:hAnsi="仿宋_GB2312" w:cs="仿宋_GB2312" w:hint="eastAsia"/>
                <w:sz w:val="20"/>
              </w:rPr>
            </w:pPr>
          </w:p>
        </w:tc>
        <w:tc>
          <w:tcPr>
            <w:tcW w:w="1442" w:type="dxa"/>
            <w:vMerge/>
            <w:tcBorders>
              <w:tl2br w:val="nil"/>
              <w:tr2bl w:val="nil"/>
            </w:tcBorders>
            <w:vAlign w:val="center"/>
          </w:tcPr>
          <w:p w14:paraId="7F125BF7" w14:textId="77777777" w:rsidR="0040049C" w:rsidRDefault="0040049C">
            <w:pPr>
              <w:jc w:val="center"/>
              <w:rPr>
                <w:rFonts w:ascii="仿宋_GB2312" w:eastAsia="仿宋_GB2312" w:hAnsi="仿宋_GB2312" w:cs="仿宋_GB2312" w:hint="eastAsia"/>
                <w:sz w:val="20"/>
              </w:rPr>
            </w:pPr>
          </w:p>
        </w:tc>
        <w:tc>
          <w:tcPr>
            <w:tcW w:w="1768" w:type="dxa"/>
            <w:gridSpan w:val="2"/>
            <w:tcBorders>
              <w:tl2br w:val="nil"/>
              <w:tr2bl w:val="nil"/>
            </w:tcBorders>
            <w:vAlign w:val="center"/>
          </w:tcPr>
          <w:p w14:paraId="7E5F0598"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时效指标</w:t>
            </w:r>
          </w:p>
        </w:tc>
        <w:tc>
          <w:tcPr>
            <w:tcW w:w="1606" w:type="dxa"/>
            <w:tcBorders>
              <w:tl2br w:val="nil"/>
              <w:tr2bl w:val="nil"/>
            </w:tcBorders>
            <w:vAlign w:val="center"/>
          </w:tcPr>
          <w:p w14:paraId="1E668398"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指标1：按照年度预算安排资金拨付</w:t>
            </w:r>
          </w:p>
        </w:tc>
        <w:tc>
          <w:tcPr>
            <w:tcW w:w="3225" w:type="dxa"/>
            <w:gridSpan w:val="2"/>
            <w:tcBorders>
              <w:tl2br w:val="nil"/>
              <w:tr2bl w:val="nil"/>
            </w:tcBorders>
            <w:vAlign w:val="center"/>
          </w:tcPr>
          <w:p w14:paraId="5DD31CEF" w14:textId="77777777" w:rsidR="0040049C" w:rsidRDefault="00000000">
            <w:pPr>
              <w:widowControl/>
              <w:jc w:val="center"/>
              <w:textAlignment w:val="center"/>
            </w:pPr>
            <w:r>
              <w:rPr>
                <w:rFonts w:ascii="宋体" w:eastAsia="宋体" w:hAnsi="宋体" w:cs="宋体" w:hint="eastAsia"/>
                <w:color w:val="000000"/>
                <w:kern w:val="0"/>
                <w:sz w:val="20"/>
                <w:szCs w:val="20"/>
                <w:lang w:bidi="ar"/>
              </w:rPr>
              <w:t>按照年度预算安排，资金拨付到位</w:t>
            </w:r>
          </w:p>
        </w:tc>
      </w:tr>
      <w:tr w:rsidR="0040049C" w14:paraId="732C4B5C" w14:textId="77777777">
        <w:trPr>
          <w:trHeight w:val="363"/>
        </w:trPr>
        <w:tc>
          <w:tcPr>
            <w:tcW w:w="979" w:type="dxa"/>
            <w:vMerge/>
            <w:tcBorders>
              <w:tl2br w:val="nil"/>
              <w:tr2bl w:val="nil"/>
            </w:tcBorders>
            <w:vAlign w:val="center"/>
          </w:tcPr>
          <w:p w14:paraId="1FADE73C" w14:textId="77777777" w:rsidR="0040049C" w:rsidRDefault="0040049C">
            <w:pPr>
              <w:jc w:val="center"/>
              <w:rPr>
                <w:rFonts w:ascii="仿宋_GB2312" w:eastAsia="仿宋_GB2312" w:hAnsi="仿宋_GB2312" w:cs="仿宋_GB2312" w:hint="eastAsia"/>
                <w:sz w:val="20"/>
              </w:rPr>
            </w:pPr>
          </w:p>
        </w:tc>
        <w:tc>
          <w:tcPr>
            <w:tcW w:w="1442" w:type="dxa"/>
            <w:vMerge/>
            <w:tcBorders>
              <w:tl2br w:val="nil"/>
              <w:tr2bl w:val="nil"/>
            </w:tcBorders>
            <w:vAlign w:val="center"/>
          </w:tcPr>
          <w:p w14:paraId="6D8CA27D" w14:textId="77777777" w:rsidR="0040049C" w:rsidRDefault="0040049C">
            <w:pPr>
              <w:jc w:val="center"/>
              <w:rPr>
                <w:rFonts w:ascii="仿宋_GB2312" w:eastAsia="仿宋_GB2312" w:hAnsi="仿宋_GB2312" w:cs="仿宋_GB2312" w:hint="eastAsia"/>
                <w:sz w:val="20"/>
              </w:rPr>
            </w:pPr>
          </w:p>
        </w:tc>
        <w:tc>
          <w:tcPr>
            <w:tcW w:w="1768" w:type="dxa"/>
            <w:gridSpan w:val="2"/>
            <w:tcBorders>
              <w:tl2br w:val="nil"/>
              <w:tr2bl w:val="nil"/>
            </w:tcBorders>
            <w:vAlign w:val="center"/>
          </w:tcPr>
          <w:p w14:paraId="4742905E"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成本指标</w:t>
            </w:r>
          </w:p>
        </w:tc>
        <w:tc>
          <w:tcPr>
            <w:tcW w:w="1606" w:type="dxa"/>
            <w:tcBorders>
              <w:tl2br w:val="nil"/>
              <w:tr2bl w:val="nil"/>
            </w:tcBorders>
            <w:vAlign w:val="center"/>
          </w:tcPr>
          <w:p w14:paraId="5FA942D5"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指标1：严格控制成本</w:t>
            </w:r>
          </w:p>
        </w:tc>
        <w:tc>
          <w:tcPr>
            <w:tcW w:w="3225" w:type="dxa"/>
            <w:gridSpan w:val="2"/>
            <w:tcBorders>
              <w:tl2br w:val="nil"/>
              <w:tr2bl w:val="nil"/>
            </w:tcBorders>
            <w:vAlign w:val="center"/>
          </w:tcPr>
          <w:p w14:paraId="7B75D9AA" w14:textId="77777777" w:rsidR="0040049C" w:rsidRDefault="00000000">
            <w:pPr>
              <w:widowControl/>
              <w:jc w:val="center"/>
              <w:textAlignment w:val="center"/>
            </w:pPr>
            <w:r>
              <w:rPr>
                <w:rFonts w:ascii="宋体" w:eastAsia="宋体" w:hAnsi="宋体" w:cs="宋体" w:hint="eastAsia"/>
                <w:color w:val="000000"/>
                <w:kern w:val="0"/>
                <w:sz w:val="20"/>
                <w:szCs w:val="20"/>
                <w:lang w:bidi="ar"/>
              </w:rPr>
              <w:t>严格控制成本，不超年度预算</w:t>
            </w:r>
          </w:p>
        </w:tc>
      </w:tr>
      <w:tr w:rsidR="0040049C" w14:paraId="343FB122" w14:textId="77777777">
        <w:trPr>
          <w:trHeight w:val="363"/>
        </w:trPr>
        <w:tc>
          <w:tcPr>
            <w:tcW w:w="979" w:type="dxa"/>
            <w:vMerge/>
            <w:tcBorders>
              <w:tl2br w:val="nil"/>
              <w:tr2bl w:val="nil"/>
            </w:tcBorders>
            <w:vAlign w:val="center"/>
          </w:tcPr>
          <w:p w14:paraId="05540B53" w14:textId="77777777" w:rsidR="0040049C" w:rsidRDefault="0040049C">
            <w:pPr>
              <w:jc w:val="center"/>
              <w:rPr>
                <w:rFonts w:ascii="仿宋_GB2312" w:eastAsia="仿宋_GB2312" w:hAnsi="仿宋_GB2312" w:cs="仿宋_GB2312" w:hint="eastAsia"/>
                <w:sz w:val="20"/>
              </w:rPr>
            </w:pPr>
          </w:p>
        </w:tc>
        <w:tc>
          <w:tcPr>
            <w:tcW w:w="1442" w:type="dxa"/>
            <w:vMerge w:val="restart"/>
            <w:tcBorders>
              <w:tl2br w:val="nil"/>
              <w:tr2bl w:val="nil"/>
            </w:tcBorders>
            <w:vAlign w:val="center"/>
          </w:tcPr>
          <w:p w14:paraId="04432F38"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效益指标</w:t>
            </w:r>
          </w:p>
        </w:tc>
        <w:tc>
          <w:tcPr>
            <w:tcW w:w="1768" w:type="dxa"/>
            <w:gridSpan w:val="2"/>
            <w:tcBorders>
              <w:tl2br w:val="nil"/>
              <w:tr2bl w:val="nil"/>
            </w:tcBorders>
            <w:vAlign w:val="center"/>
          </w:tcPr>
          <w:p w14:paraId="20773670"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经济效益指标</w:t>
            </w:r>
          </w:p>
        </w:tc>
        <w:tc>
          <w:tcPr>
            <w:tcW w:w="1606" w:type="dxa"/>
            <w:tcBorders>
              <w:tl2br w:val="nil"/>
              <w:tr2bl w:val="nil"/>
            </w:tcBorders>
            <w:vAlign w:val="center"/>
          </w:tcPr>
          <w:p w14:paraId="187017EB"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指标1：不产生经济价值</w:t>
            </w:r>
          </w:p>
        </w:tc>
        <w:tc>
          <w:tcPr>
            <w:tcW w:w="3225" w:type="dxa"/>
            <w:gridSpan w:val="2"/>
            <w:tcBorders>
              <w:tl2br w:val="nil"/>
              <w:tr2bl w:val="nil"/>
            </w:tcBorders>
            <w:vAlign w:val="center"/>
          </w:tcPr>
          <w:p w14:paraId="1F5252D0" w14:textId="77777777" w:rsidR="0040049C" w:rsidRDefault="00000000">
            <w:pPr>
              <w:widowControl/>
              <w:jc w:val="center"/>
              <w:textAlignment w:val="center"/>
            </w:pPr>
            <w:r>
              <w:rPr>
                <w:rFonts w:ascii="宋体" w:eastAsia="宋体" w:hAnsi="宋体" w:cs="宋体" w:hint="eastAsia"/>
                <w:color w:val="000000"/>
                <w:kern w:val="0"/>
                <w:sz w:val="20"/>
                <w:szCs w:val="20"/>
                <w:lang w:bidi="ar"/>
              </w:rPr>
              <w:t>不产生经济价值</w:t>
            </w:r>
          </w:p>
        </w:tc>
      </w:tr>
      <w:tr w:rsidR="0040049C" w14:paraId="3655BAE8" w14:textId="77777777">
        <w:trPr>
          <w:trHeight w:val="363"/>
        </w:trPr>
        <w:tc>
          <w:tcPr>
            <w:tcW w:w="979" w:type="dxa"/>
            <w:vMerge/>
            <w:tcBorders>
              <w:tl2br w:val="nil"/>
              <w:tr2bl w:val="nil"/>
            </w:tcBorders>
            <w:vAlign w:val="center"/>
          </w:tcPr>
          <w:p w14:paraId="0A7B2857" w14:textId="77777777" w:rsidR="0040049C" w:rsidRDefault="0040049C">
            <w:pPr>
              <w:jc w:val="center"/>
              <w:rPr>
                <w:rFonts w:ascii="仿宋_GB2312" w:eastAsia="仿宋_GB2312" w:hAnsi="仿宋_GB2312" w:cs="仿宋_GB2312" w:hint="eastAsia"/>
                <w:sz w:val="20"/>
              </w:rPr>
            </w:pPr>
          </w:p>
        </w:tc>
        <w:tc>
          <w:tcPr>
            <w:tcW w:w="1442" w:type="dxa"/>
            <w:vMerge/>
            <w:tcBorders>
              <w:tl2br w:val="nil"/>
              <w:tr2bl w:val="nil"/>
            </w:tcBorders>
            <w:vAlign w:val="center"/>
          </w:tcPr>
          <w:p w14:paraId="31C753EB" w14:textId="77777777" w:rsidR="0040049C" w:rsidRDefault="0040049C">
            <w:pPr>
              <w:jc w:val="center"/>
              <w:rPr>
                <w:rFonts w:ascii="仿宋_GB2312" w:eastAsia="仿宋_GB2312" w:hAnsi="仿宋_GB2312" w:cs="仿宋_GB2312" w:hint="eastAsia"/>
                <w:sz w:val="20"/>
              </w:rPr>
            </w:pPr>
          </w:p>
        </w:tc>
        <w:tc>
          <w:tcPr>
            <w:tcW w:w="1768" w:type="dxa"/>
            <w:gridSpan w:val="2"/>
            <w:tcBorders>
              <w:tl2br w:val="nil"/>
              <w:tr2bl w:val="nil"/>
            </w:tcBorders>
            <w:vAlign w:val="center"/>
          </w:tcPr>
          <w:p w14:paraId="46EB2EB2"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社会效益指标</w:t>
            </w:r>
          </w:p>
        </w:tc>
        <w:tc>
          <w:tcPr>
            <w:tcW w:w="1606" w:type="dxa"/>
            <w:tcBorders>
              <w:tl2br w:val="nil"/>
              <w:tr2bl w:val="nil"/>
            </w:tcBorders>
            <w:vAlign w:val="center"/>
          </w:tcPr>
          <w:p w14:paraId="476B31B7"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指标1：处理经济纠纷、维护社会稳定</w:t>
            </w:r>
          </w:p>
        </w:tc>
        <w:tc>
          <w:tcPr>
            <w:tcW w:w="3225" w:type="dxa"/>
            <w:gridSpan w:val="2"/>
            <w:tcBorders>
              <w:tl2br w:val="nil"/>
              <w:tr2bl w:val="nil"/>
            </w:tcBorders>
            <w:vAlign w:val="center"/>
          </w:tcPr>
          <w:p w14:paraId="765F0528" w14:textId="77777777" w:rsidR="0040049C" w:rsidRDefault="00000000">
            <w:pPr>
              <w:widowControl/>
              <w:jc w:val="center"/>
              <w:textAlignment w:val="center"/>
            </w:pPr>
            <w:r>
              <w:rPr>
                <w:rFonts w:ascii="宋体" w:eastAsia="宋体" w:hAnsi="宋体" w:cs="宋体" w:hint="eastAsia"/>
                <w:color w:val="000000"/>
                <w:kern w:val="0"/>
                <w:sz w:val="20"/>
                <w:szCs w:val="20"/>
                <w:lang w:bidi="ar"/>
              </w:rPr>
              <w:t>树立尊法学法守法用法意识，营造良好法治氛围</w:t>
            </w:r>
          </w:p>
        </w:tc>
      </w:tr>
      <w:tr w:rsidR="0040049C" w14:paraId="0F86A993" w14:textId="77777777">
        <w:trPr>
          <w:trHeight w:val="363"/>
        </w:trPr>
        <w:tc>
          <w:tcPr>
            <w:tcW w:w="979" w:type="dxa"/>
            <w:vMerge/>
            <w:tcBorders>
              <w:tl2br w:val="nil"/>
              <w:tr2bl w:val="nil"/>
            </w:tcBorders>
            <w:vAlign w:val="center"/>
          </w:tcPr>
          <w:p w14:paraId="11F01500" w14:textId="77777777" w:rsidR="0040049C" w:rsidRDefault="0040049C">
            <w:pPr>
              <w:jc w:val="center"/>
              <w:rPr>
                <w:rFonts w:ascii="仿宋_GB2312" w:eastAsia="仿宋_GB2312" w:hAnsi="仿宋_GB2312" w:cs="仿宋_GB2312" w:hint="eastAsia"/>
                <w:sz w:val="20"/>
              </w:rPr>
            </w:pPr>
          </w:p>
        </w:tc>
        <w:tc>
          <w:tcPr>
            <w:tcW w:w="1442" w:type="dxa"/>
            <w:vMerge/>
            <w:tcBorders>
              <w:tl2br w:val="nil"/>
              <w:tr2bl w:val="nil"/>
            </w:tcBorders>
            <w:vAlign w:val="center"/>
          </w:tcPr>
          <w:p w14:paraId="426255C0" w14:textId="77777777" w:rsidR="0040049C" w:rsidRDefault="0040049C">
            <w:pPr>
              <w:jc w:val="center"/>
              <w:rPr>
                <w:rFonts w:ascii="仿宋_GB2312" w:eastAsia="仿宋_GB2312" w:hAnsi="仿宋_GB2312" w:cs="仿宋_GB2312" w:hint="eastAsia"/>
                <w:sz w:val="20"/>
              </w:rPr>
            </w:pPr>
          </w:p>
        </w:tc>
        <w:tc>
          <w:tcPr>
            <w:tcW w:w="1768" w:type="dxa"/>
            <w:gridSpan w:val="2"/>
            <w:tcBorders>
              <w:tl2br w:val="nil"/>
              <w:tr2bl w:val="nil"/>
            </w:tcBorders>
            <w:vAlign w:val="center"/>
          </w:tcPr>
          <w:p w14:paraId="51807BCB"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生态效益指标</w:t>
            </w:r>
          </w:p>
        </w:tc>
        <w:tc>
          <w:tcPr>
            <w:tcW w:w="1606" w:type="dxa"/>
            <w:tcBorders>
              <w:tl2br w:val="nil"/>
              <w:tr2bl w:val="nil"/>
            </w:tcBorders>
            <w:vAlign w:val="center"/>
          </w:tcPr>
          <w:p w14:paraId="4919FACE"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指标1：不对周边生态环境带来影响</w:t>
            </w:r>
          </w:p>
        </w:tc>
        <w:tc>
          <w:tcPr>
            <w:tcW w:w="3225" w:type="dxa"/>
            <w:gridSpan w:val="2"/>
            <w:tcBorders>
              <w:tl2br w:val="nil"/>
              <w:tr2bl w:val="nil"/>
            </w:tcBorders>
            <w:vAlign w:val="center"/>
          </w:tcPr>
          <w:p w14:paraId="04B7856F" w14:textId="77777777" w:rsidR="0040049C" w:rsidRDefault="00000000">
            <w:pPr>
              <w:widowControl/>
              <w:jc w:val="center"/>
              <w:textAlignment w:val="center"/>
            </w:pPr>
            <w:r>
              <w:rPr>
                <w:rFonts w:ascii="宋体" w:eastAsia="宋体" w:hAnsi="宋体" w:cs="宋体" w:hint="eastAsia"/>
                <w:color w:val="000000"/>
                <w:kern w:val="0"/>
                <w:sz w:val="20"/>
                <w:szCs w:val="20"/>
                <w:lang w:bidi="ar"/>
              </w:rPr>
              <w:t>不对周边生态环境带来影响</w:t>
            </w:r>
          </w:p>
        </w:tc>
      </w:tr>
      <w:tr w:rsidR="0040049C" w14:paraId="6600A7FA" w14:textId="77777777">
        <w:trPr>
          <w:trHeight w:val="363"/>
        </w:trPr>
        <w:tc>
          <w:tcPr>
            <w:tcW w:w="979" w:type="dxa"/>
            <w:vMerge/>
            <w:tcBorders>
              <w:tl2br w:val="nil"/>
              <w:tr2bl w:val="nil"/>
            </w:tcBorders>
            <w:vAlign w:val="center"/>
          </w:tcPr>
          <w:p w14:paraId="3C24335C" w14:textId="77777777" w:rsidR="0040049C" w:rsidRDefault="0040049C">
            <w:pPr>
              <w:jc w:val="center"/>
              <w:rPr>
                <w:rFonts w:ascii="仿宋_GB2312" w:eastAsia="仿宋_GB2312" w:hAnsi="仿宋_GB2312" w:cs="仿宋_GB2312" w:hint="eastAsia"/>
                <w:sz w:val="20"/>
              </w:rPr>
            </w:pPr>
          </w:p>
        </w:tc>
        <w:tc>
          <w:tcPr>
            <w:tcW w:w="1442" w:type="dxa"/>
            <w:vMerge/>
            <w:tcBorders>
              <w:tl2br w:val="nil"/>
              <w:tr2bl w:val="nil"/>
            </w:tcBorders>
            <w:vAlign w:val="center"/>
          </w:tcPr>
          <w:p w14:paraId="53D32AC9" w14:textId="77777777" w:rsidR="0040049C" w:rsidRDefault="0040049C">
            <w:pPr>
              <w:jc w:val="center"/>
              <w:rPr>
                <w:rFonts w:ascii="仿宋_GB2312" w:eastAsia="仿宋_GB2312" w:hAnsi="仿宋_GB2312" w:cs="仿宋_GB2312" w:hint="eastAsia"/>
                <w:sz w:val="20"/>
              </w:rPr>
            </w:pPr>
          </w:p>
        </w:tc>
        <w:tc>
          <w:tcPr>
            <w:tcW w:w="1768" w:type="dxa"/>
            <w:gridSpan w:val="2"/>
            <w:tcBorders>
              <w:tl2br w:val="nil"/>
              <w:tr2bl w:val="nil"/>
            </w:tcBorders>
            <w:vAlign w:val="center"/>
          </w:tcPr>
          <w:p w14:paraId="671D3D1B"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可持续影响指标</w:t>
            </w:r>
          </w:p>
        </w:tc>
        <w:tc>
          <w:tcPr>
            <w:tcW w:w="1606" w:type="dxa"/>
            <w:tcBorders>
              <w:tl2br w:val="nil"/>
              <w:tr2bl w:val="nil"/>
            </w:tcBorders>
            <w:vAlign w:val="center"/>
          </w:tcPr>
          <w:p w14:paraId="67BE17B6"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指标1：仲裁经济纠纷，提升仲裁公信力</w:t>
            </w:r>
          </w:p>
        </w:tc>
        <w:tc>
          <w:tcPr>
            <w:tcW w:w="3225" w:type="dxa"/>
            <w:gridSpan w:val="2"/>
            <w:tcBorders>
              <w:tl2br w:val="nil"/>
              <w:tr2bl w:val="nil"/>
            </w:tcBorders>
            <w:vAlign w:val="center"/>
          </w:tcPr>
          <w:p w14:paraId="02A09855" w14:textId="77777777" w:rsidR="0040049C" w:rsidRDefault="00000000">
            <w:pPr>
              <w:widowControl/>
              <w:jc w:val="center"/>
              <w:textAlignment w:val="center"/>
            </w:pPr>
            <w:r>
              <w:rPr>
                <w:rFonts w:ascii="宋体" w:eastAsia="宋体" w:hAnsi="宋体" w:cs="宋体" w:hint="eastAsia"/>
                <w:color w:val="000000"/>
                <w:kern w:val="0"/>
                <w:sz w:val="20"/>
                <w:szCs w:val="20"/>
                <w:lang w:bidi="ar"/>
              </w:rPr>
              <w:t>仲裁经济纠纷，提升仲裁公信力</w:t>
            </w:r>
          </w:p>
        </w:tc>
      </w:tr>
      <w:tr w:rsidR="0040049C" w14:paraId="316EEEA5" w14:textId="77777777">
        <w:trPr>
          <w:trHeight w:val="363"/>
        </w:trPr>
        <w:tc>
          <w:tcPr>
            <w:tcW w:w="979" w:type="dxa"/>
            <w:vMerge/>
            <w:tcBorders>
              <w:tl2br w:val="nil"/>
              <w:tr2bl w:val="nil"/>
            </w:tcBorders>
            <w:vAlign w:val="center"/>
          </w:tcPr>
          <w:p w14:paraId="42391D61" w14:textId="77777777" w:rsidR="0040049C" w:rsidRDefault="0040049C">
            <w:pPr>
              <w:jc w:val="center"/>
              <w:rPr>
                <w:rFonts w:ascii="仿宋_GB2312" w:eastAsia="仿宋_GB2312" w:hAnsi="仿宋_GB2312" w:cs="仿宋_GB2312" w:hint="eastAsia"/>
                <w:sz w:val="20"/>
              </w:rPr>
            </w:pPr>
          </w:p>
        </w:tc>
        <w:tc>
          <w:tcPr>
            <w:tcW w:w="1442" w:type="dxa"/>
            <w:tcBorders>
              <w:tl2br w:val="nil"/>
              <w:tr2bl w:val="nil"/>
            </w:tcBorders>
            <w:vAlign w:val="center"/>
          </w:tcPr>
          <w:p w14:paraId="2428F0E0"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满意度指标</w:t>
            </w:r>
          </w:p>
        </w:tc>
        <w:tc>
          <w:tcPr>
            <w:tcW w:w="1768" w:type="dxa"/>
            <w:gridSpan w:val="2"/>
            <w:tcBorders>
              <w:tl2br w:val="nil"/>
              <w:tr2bl w:val="nil"/>
            </w:tcBorders>
            <w:vAlign w:val="center"/>
          </w:tcPr>
          <w:p w14:paraId="51AD84A9" w14:textId="77777777" w:rsidR="0040049C" w:rsidRDefault="00000000">
            <w:pPr>
              <w:widowControl/>
              <w:jc w:val="center"/>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满意度指标</w:t>
            </w:r>
          </w:p>
        </w:tc>
        <w:tc>
          <w:tcPr>
            <w:tcW w:w="1606" w:type="dxa"/>
            <w:tcBorders>
              <w:tl2br w:val="nil"/>
              <w:tr2bl w:val="nil"/>
            </w:tcBorders>
            <w:vAlign w:val="center"/>
          </w:tcPr>
          <w:p w14:paraId="08C72595" w14:textId="77777777" w:rsidR="0040049C" w:rsidRDefault="00000000">
            <w:pPr>
              <w:widowControl/>
              <w:jc w:val="lef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指标1：案件当事人及涉及的企业、群众满意</w:t>
            </w:r>
          </w:p>
        </w:tc>
        <w:tc>
          <w:tcPr>
            <w:tcW w:w="3225" w:type="dxa"/>
            <w:gridSpan w:val="2"/>
            <w:tcBorders>
              <w:tl2br w:val="nil"/>
              <w:tr2bl w:val="nil"/>
            </w:tcBorders>
            <w:vAlign w:val="center"/>
          </w:tcPr>
          <w:p w14:paraId="5AF984F7" w14:textId="77777777" w:rsidR="0040049C" w:rsidRDefault="00000000">
            <w:pPr>
              <w:widowControl/>
              <w:jc w:val="center"/>
              <w:textAlignment w:val="center"/>
            </w:pPr>
            <w:r>
              <w:rPr>
                <w:rFonts w:ascii="宋体" w:eastAsia="宋体" w:hAnsi="宋体" w:cs="宋体" w:hint="eastAsia"/>
                <w:color w:val="000000"/>
                <w:kern w:val="0"/>
                <w:sz w:val="20"/>
                <w:szCs w:val="20"/>
                <w:lang w:bidi="ar"/>
              </w:rPr>
              <w:t>案件当事人及涉及的企业、群众满意</w:t>
            </w:r>
          </w:p>
        </w:tc>
      </w:tr>
    </w:tbl>
    <w:p w14:paraId="07C5ED89" w14:textId="77777777" w:rsidR="0040049C" w:rsidRDefault="0040049C">
      <w:pPr>
        <w:ind w:firstLineChars="200" w:firstLine="420"/>
        <w:rPr>
          <w:rFonts w:ascii="仿宋_GB2312" w:eastAsia="仿宋_GB2312" w:hAnsi="仿宋_GB2312" w:cs="仿宋_GB2312" w:hint="eastAsia"/>
        </w:rPr>
      </w:pPr>
    </w:p>
    <w:p w14:paraId="768F5B22" w14:textId="77777777" w:rsidR="0040049C" w:rsidRDefault="00000000">
      <w:pPr>
        <w:adjustRightInd w:val="0"/>
        <w:snapToGrid w:val="0"/>
        <w:spacing w:line="58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（二）机关运行经费。</w:t>
      </w:r>
    </w:p>
    <w:p w14:paraId="74A82873" w14:textId="0DD3DAD0" w:rsidR="0040049C" w:rsidRDefault="00000000">
      <w:pPr>
        <w:ind w:firstLineChars="200" w:firstLine="640"/>
        <w:rPr>
          <w:rFonts w:ascii="仿宋_GB2312" w:eastAsia="仿宋_GB2312" w:hAnsi="仿宋_GB2312" w:cs="仿宋_GB2312" w:hint="eastAsia"/>
          <w:kern w:val="0"/>
          <w:sz w:val="32"/>
          <w:szCs w:val="32"/>
        </w:rPr>
      </w:pPr>
      <w:bookmarkStart w:id="0" w:name="_Hlk177743640"/>
      <w:r>
        <w:rPr>
          <w:rFonts w:ascii="仿宋_GB2312" w:eastAsia="仿宋_GB2312" w:hAnsi="仿宋_GB2312" w:cs="仿宋_GB2312" w:hint="eastAsia"/>
          <w:kern w:val="0"/>
          <w:sz w:val="32"/>
          <w:szCs w:val="32"/>
        </w:rPr>
        <w:t>淮北仲裁委员会秘书处2023年机关运行经费财政拨款预</w:t>
      </w:r>
      <w:r w:rsidR="002D3AC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万元，比2022年预算增加</w:t>
      </w:r>
      <w:r w:rsidR="002D3AC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万元，增长</w:t>
      </w:r>
      <w:r w:rsidR="002D3AC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%，原因主要是</w:t>
      </w:r>
      <w:r w:rsidR="002D3ACF">
        <w:rPr>
          <w:rFonts w:ascii="仿宋_GB2312" w:eastAsia="仿宋_GB2312" w:hAnsi="仿宋_GB2312" w:cs="仿宋_GB2312" w:hint="eastAsia"/>
          <w:kern w:val="0"/>
          <w:sz w:val="32"/>
          <w:szCs w:val="32"/>
        </w:rPr>
        <w:t>我单位为事业单位，</w:t>
      </w:r>
      <w:proofErr w:type="gramStart"/>
      <w:r w:rsidR="002D3ACF">
        <w:rPr>
          <w:rFonts w:ascii="仿宋_GB2312" w:eastAsia="仿宋_GB2312" w:hAnsi="仿宋_GB2312" w:cs="仿宋_GB2312" w:hint="eastAsia"/>
          <w:kern w:val="0"/>
          <w:sz w:val="32"/>
          <w:szCs w:val="32"/>
        </w:rPr>
        <w:t>无机关</w:t>
      </w:r>
      <w:proofErr w:type="gramEnd"/>
      <w:r w:rsidR="002D3ACF">
        <w:rPr>
          <w:rFonts w:ascii="仿宋_GB2312" w:eastAsia="仿宋_GB2312" w:hAnsi="仿宋_GB2312" w:cs="仿宋_GB2312" w:hint="eastAsia"/>
          <w:kern w:val="0"/>
          <w:sz w:val="32"/>
          <w:szCs w:val="32"/>
        </w:rPr>
        <w:t>运行经费</w:t>
      </w:r>
      <w:r>
        <w:rPr>
          <w:rFonts w:ascii="仿宋_GB2312" w:eastAsia="仿宋_GB2312" w:hAnsi="仿宋_GB2312" w:cs="仿宋_GB2312" w:hint="eastAsia"/>
          <w:kern w:val="0"/>
          <w:sz w:val="32"/>
          <w:szCs w:val="32"/>
        </w:rPr>
        <w:t>。</w:t>
      </w:r>
    </w:p>
    <w:bookmarkEnd w:id="0"/>
    <w:p w14:paraId="7224C2C7" w14:textId="77777777" w:rsidR="0040049C" w:rsidRDefault="00000000">
      <w:pPr>
        <w:adjustRightInd w:val="0"/>
        <w:snapToGrid w:val="0"/>
        <w:spacing w:line="58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（三）政府采购情况。</w:t>
      </w:r>
    </w:p>
    <w:p w14:paraId="07514801"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淮北仲裁委员会秘书处2023年政府采购预算19.6万元。其中政府采购货物预算19.6万元。</w:t>
      </w:r>
    </w:p>
    <w:p w14:paraId="5443FDA4" w14:textId="77777777" w:rsidR="0040049C" w:rsidRDefault="00000000">
      <w:pPr>
        <w:adjustRightInd w:val="0"/>
        <w:snapToGrid w:val="0"/>
        <w:spacing w:line="58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（四）国有资产占有使用情况。</w:t>
      </w:r>
    </w:p>
    <w:p w14:paraId="4F666E05" w14:textId="10F10790"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截至2022年12月31日，淮北仲裁委员会秘书处共有车辆1辆，其中：其他用车1辆。</w:t>
      </w:r>
      <w:r w:rsidR="002D3ACF" w:rsidRPr="002D3ACF">
        <w:rPr>
          <w:rFonts w:ascii="仿宋_GB2312" w:eastAsia="仿宋_GB2312" w:hAnsi="仿宋_GB2312" w:cs="仿宋_GB2312" w:hint="eastAsia"/>
          <w:kern w:val="0"/>
          <w:sz w:val="32"/>
          <w:szCs w:val="32"/>
        </w:rPr>
        <w:t>单价50万元以上的通用设备0台（套），单价100万元以上的专用设备0台（套）。</w:t>
      </w:r>
    </w:p>
    <w:p w14:paraId="27978FCF" w14:textId="3620FBF9"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淮北仲裁委员会秘书处预算安排购置公务用车1辆，购置费18万元，其中：其他用车1辆</w:t>
      </w:r>
      <w:r w:rsidR="002D3ACF" w:rsidRPr="002D3ACF">
        <w:rPr>
          <w:rFonts w:ascii="仿宋_GB2312" w:eastAsia="仿宋_GB2312" w:hAnsi="仿宋_GB2312" w:cs="仿宋_GB2312" w:hint="eastAsia"/>
          <w:kern w:val="0"/>
          <w:sz w:val="32"/>
          <w:szCs w:val="32"/>
        </w:rPr>
        <w:t>；安排购置单价50万元以上的通用设备0台（套），购置费0万元；安排购置单价100万元以上专用设备0台（套），购置费0万元。</w:t>
      </w:r>
    </w:p>
    <w:p w14:paraId="7C74B171" w14:textId="77777777" w:rsidR="0040049C" w:rsidRDefault="00000000">
      <w:pPr>
        <w:adjustRightInd w:val="0"/>
        <w:snapToGrid w:val="0"/>
        <w:spacing w:line="58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（五）绩效目标设置情况。</w:t>
      </w:r>
    </w:p>
    <w:p w14:paraId="23C83390" w14:textId="77777777" w:rsidR="0040049C" w:rsidRDefault="00000000">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2023年，淮北仲裁委员会秘书处4个项目实行了绩效目标管理，涉及一般公共预算当年财政拨款165.99万元、政府性基金预算当年财政拨款0万元、财政专户管理资金当年安排0万元。</w:t>
      </w:r>
    </w:p>
    <w:p w14:paraId="526EEA5C" w14:textId="77777777" w:rsidR="0040049C" w:rsidRDefault="0040049C">
      <w:pPr>
        <w:rPr>
          <w:rFonts w:ascii="仿宋_GB2312" w:eastAsia="仿宋_GB2312" w:hAnsi="仿宋_GB2312" w:cs="仿宋_GB2312" w:hint="eastAsia"/>
        </w:rPr>
      </w:pPr>
    </w:p>
    <w:p w14:paraId="0421BD77" w14:textId="77777777" w:rsidR="0040049C" w:rsidRDefault="0040049C">
      <w:pPr>
        <w:pStyle w:val="a4"/>
        <w:adjustRightInd w:val="0"/>
        <w:snapToGrid w:val="0"/>
        <w:spacing w:line="560" w:lineRule="exact"/>
        <w:jc w:val="center"/>
        <w:rPr>
          <w:rFonts w:ascii="仿宋_GB2312" w:eastAsia="仿宋_GB2312" w:hAnsi="仿宋_GB2312" w:cs="仿宋_GB2312" w:hint="eastAsia"/>
          <w:bCs/>
          <w:sz w:val="36"/>
          <w:szCs w:val="36"/>
        </w:rPr>
      </w:pPr>
    </w:p>
    <w:p w14:paraId="1D6E433E" w14:textId="77777777" w:rsidR="0040049C" w:rsidRDefault="00000000">
      <w:pPr>
        <w:pStyle w:val="a4"/>
        <w:adjustRightInd w:val="0"/>
        <w:snapToGrid w:val="0"/>
        <w:spacing w:line="560" w:lineRule="exact"/>
        <w:jc w:val="center"/>
        <w:rPr>
          <w:rFonts w:ascii="黑体" w:eastAsia="黑体" w:hAnsi="黑体" w:cs="黑体" w:hint="eastAsia"/>
          <w:bCs/>
          <w:sz w:val="36"/>
          <w:szCs w:val="36"/>
        </w:rPr>
      </w:pPr>
      <w:r>
        <w:rPr>
          <w:rFonts w:ascii="黑体" w:eastAsia="黑体" w:hAnsi="黑体" w:cs="黑体" w:hint="eastAsia"/>
          <w:bCs/>
          <w:sz w:val="36"/>
          <w:szCs w:val="36"/>
        </w:rPr>
        <w:t>第四部分 名词解释</w:t>
      </w:r>
    </w:p>
    <w:p w14:paraId="2A16602A" w14:textId="77777777" w:rsidR="0040049C" w:rsidRDefault="0040049C">
      <w:pPr>
        <w:rPr>
          <w:rFonts w:ascii="仿宋_GB2312" w:eastAsia="仿宋_GB2312" w:hAnsi="仿宋_GB2312" w:cs="仿宋_GB2312" w:hint="eastAsia"/>
        </w:rPr>
      </w:pPr>
    </w:p>
    <w:p w14:paraId="3773FF67"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一、财政拨款收入：</w:t>
      </w:r>
      <w:r>
        <w:rPr>
          <w:rFonts w:ascii="仿宋_GB2312" w:eastAsia="仿宋_GB2312" w:hAnsi="仿宋_GB2312" w:cs="仿宋_GB2312" w:hint="eastAsia"/>
          <w:sz w:val="32"/>
          <w:szCs w:val="32"/>
        </w:rPr>
        <w:t>指部门或单位从同级财政部门取得的财政预算资金。</w:t>
      </w:r>
    </w:p>
    <w:p w14:paraId="7819EB94"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lastRenderedPageBreak/>
        <w:t>二、事业收入：</w:t>
      </w:r>
      <w:r>
        <w:rPr>
          <w:rFonts w:ascii="仿宋_GB2312" w:eastAsia="仿宋_GB2312" w:hAnsi="仿宋_GB2312" w:cs="仿宋_GB2312" w:hint="eastAsia"/>
          <w:sz w:val="32"/>
          <w:szCs w:val="32"/>
        </w:rPr>
        <w:t>指事业单位开展专业业务活动及辅助活动所取得的收入。</w:t>
      </w:r>
    </w:p>
    <w:p w14:paraId="156F92D1"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三、财政专户管理资金：</w:t>
      </w:r>
      <w:r>
        <w:rPr>
          <w:rFonts w:ascii="仿宋_GB2312" w:eastAsia="仿宋_GB2312" w:hAnsi="仿宋_GB2312" w:cs="仿宋_GB2312" w:hint="eastAsia"/>
          <w:sz w:val="32"/>
          <w:szCs w:val="32"/>
        </w:rPr>
        <w:t>指按照非税收入管理相关规定，纳入财政专户管理的教育收费等。</w:t>
      </w:r>
    </w:p>
    <w:p w14:paraId="74600DC0"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四、事业单位经营收入：</w:t>
      </w:r>
      <w:r>
        <w:rPr>
          <w:rFonts w:ascii="仿宋_GB2312" w:eastAsia="仿宋_GB2312" w:hAnsi="仿宋_GB2312" w:cs="仿宋_GB2312" w:hint="eastAsia"/>
          <w:sz w:val="32"/>
          <w:szCs w:val="32"/>
        </w:rPr>
        <w:t>指事业单位在专业业务活动及其辅助活动之外开展非独立核算经营活动取得的收入。</w:t>
      </w:r>
    </w:p>
    <w:p w14:paraId="23FC76F0"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五、附属单位上缴收入：</w:t>
      </w:r>
      <w:r>
        <w:rPr>
          <w:rFonts w:ascii="仿宋_GB2312" w:eastAsia="仿宋_GB2312" w:hAnsi="仿宋_GB2312" w:cs="仿宋_GB2312" w:hint="eastAsia"/>
          <w:sz w:val="32"/>
          <w:szCs w:val="32"/>
        </w:rPr>
        <w:t>本单位所属下级单位上缴给本单位的全部收入。</w:t>
      </w:r>
    </w:p>
    <w:p w14:paraId="276B9627"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六、上年结转：</w:t>
      </w:r>
      <w:r>
        <w:rPr>
          <w:rFonts w:ascii="仿宋_GB2312" w:eastAsia="仿宋_GB2312" w:hAnsi="仿宋_GB2312" w:cs="仿宋_GB2312" w:hint="eastAsia"/>
          <w:sz w:val="32"/>
          <w:szCs w:val="32"/>
        </w:rPr>
        <w:t>指以前年度安排、结转到本年仍按原用途继续使用的资金。</w:t>
      </w:r>
    </w:p>
    <w:p w14:paraId="656C1C26"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七、结转下年：</w:t>
      </w:r>
      <w:r>
        <w:rPr>
          <w:rFonts w:ascii="仿宋_GB2312" w:eastAsia="仿宋_GB2312" w:hAnsi="仿宋_GB2312" w:cs="仿宋_GB2312" w:hint="eastAsia"/>
          <w:sz w:val="32"/>
          <w:szCs w:val="32"/>
        </w:rPr>
        <w:t>指以前年度预算安排、因客观条件发生变化无法按原计划实施，</w:t>
      </w:r>
      <w:proofErr w:type="gramStart"/>
      <w:r>
        <w:rPr>
          <w:rFonts w:ascii="仿宋_GB2312" w:eastAsia="仿宋_GB2312" w:hAnsi="仿宋_GB2312" w:cs="仿宋_GB2312" w:hint="eastAsia"/>
          <w:sz w:val="32"/>
          <w:szCs w:val="32"/>
        </w:rPr>
        <w:t>需以后</w:t>
      </w:r>
      <w:proofErr w:type="gramEnd"/>
      <w:r>
        <w:rPr>
          <w:rFonts w:ascii="仿宋_GB2312" w:eastAsia="仿宋_GB2312" w:hAnsi="仿宋_GB2312" w:cs="仿宋_GB2312" w:hint="eastAsia"/>
          <w:sz w:val="32"/>
          <w:szCs w:val="32"/>
        </w:rPr>
        <w:t>年度按原用途继续使用的资金。</w:t>
      </w:r>
    </w:p>
    <w:p w14:paraId="7F80D0AB"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八、基本支出：</w:t>
      </w:r>
      <w:r>
        <w:rPr>
          <w:rFonts w:ascii="仿宋_GB2312" w:eastAsia="仿宋_GB2312" w:hAnsi="仿宋_GB2312" w:cs="仿宋_GB2312" w:hint="eastAsia"/>
          <w:sz w:val="32"/>
          <w:szCs w:val="32"/>
        </w:rPr>
        <w:t>指为保障机构正常运转、完成日常工作任务而发生的人员支出和公用支出。</w:t>
      </w:r>
    </w:p>
    <w:p w14:paraId="0BD21B6C" w14:textId="77777777" w:rsidR="0040049C" w:rsidRDefault="00000000">
      <w:pPr>
        <w:pStyle w:val="a4"/>
        <w:adjustRightInd w:val="0"/>
        <w:snapToGrid w:val="0"/>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九、项目支出：</w:t>
      </w:r>
      <w:r>
        <w:rPr>
          <w:rFonts w:ascii="仿宋_GB2312" w:eastAsia="仿宋_GB2312" w:hAnsi="仿宋_GB2312" w:cs="仿宋_GB2312" w:hint="eastAsia"/>
          <w:sz w:val="32"/>
          <w:szCs w:val="32"/>
        </w:rPr>
        <w:t>指在除基本支出之外的支出，主要用于完成特定的工作任务和事业发展目标。</w:t>
      </w:r>
    </w:p>
    <w:p w14:paraId="361EC542" w14:textId="5AD0463F" w:rsidR="0040049C" w:rsidRPr="00834539" w:rsidRDefault="00000000" w:rsidP="00834539">
      <w:pPr>
        <w:pStyle w:val="a4"/>
        <w:adjustRightInd w:val="0"/>
        <w:snapToGrid w:val="0"/>
        <w:spacing w:line="560" w:lineRule="exact"/>
        <w:ind w:firstLineChars="196" w:firstLine="627"/>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 xml:space="preserve">十、机关运行经费: </w:t>
      </w:r>
      <w:r>
        <w:rPr>
          <w:rFonts w:ascii="仿宋_GB2312" w:eastAsia="仿宋_GB2312" w:hAnsi="仿宋_GB2312" w:cs="仿宋_GB2312"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rsidR="0040049C" w:rsidRPr="0083453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1507F" w14:textId="77777777" w:rsidR="00A9537F" w:rsidRDefault="00A9537F" w:rsidP="00022994">
      <w:r>
        <w:separator/>
      </w:r>
    </w:p>
  </w:endnote>
  <w:endnote w:type="continuationSeparator" w:id="0">
    <w:p w14:paraId="4CB4B476" w14:textId="77777777" w:rsidR="00A9537F" w:rsidRDefault="00A9537F" w:rsidP="0002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23F7A" w14:textId="77777777" w:rsidR="00A9537F" w:rsidRDefault="00A9537F" w:rsidP="00022994">
      <w:r>
        <w:separator/>
      </w:r>
    </w:p>
  </w:footnote>
  <w:footnote w:type="continuationSeparator" w:id="0">
    <w:p w14:paraId="3D0926FA" w14:textId="77777777" w:rsidR="00A9537F" w:rsidRDefault="00A9537F" w:rsidP="00022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F34332"/>
    <w:multiLevelType w:val="singleLevel"/>
    <w:tmpl w:val="61F34332"/>
    <w:lvl w:ilvl="0">
      <w:start w:val="2"/>
      <w:numFmt w:val="chineseCounting"/>
      <w:suff w:val="nothing"/>
      <w:lvlText w:val="%1、"/>
      <w:lvlJc w:val="left"/>
    </w:lvl>
  </w:abstractNum>
  <w:num w:numId="1" w16cid:durableId="53099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907C4"/>
    <w:rsid w:val="00022994"/>
    <w:rsid w:val="000A3995"/>
    <w:rsid w:val="002D3ACF"/>
    <w:rsid w:val="0036578D"/>
    <w:rsid w:val="0040049C"/>
    <w:rsid w:val="0057562B"/>
    <w:rsid w:val="006546AF"/>
    <w:rsid w:val="007E5DDB"/>
    <w:rsid w:val="00834539"/>
    <w:rsid w:val="008F6D1A"/>
    <w:rsid w:val="009A3CA3"/>
    <w:rsid w:val="00A9537F"/>
    <w:rsid w:val="00AE3242"/>
    <w:rsid w:val="00E907C4"/>
    <w:rsid w:val="00EC7755"/>
    <w:rsid w:val="01005F59"/>
    <w:rsid w:val="010F7F98"/>
    <w:rsid w:val="042C6B13"/>
    <w:rsid w:val="04335742"/>
    <w:rsid w:val="05C93E14"/>
    <w:rsid w:val="065F2BA8"/>
    <w:rsid w:val="0B3C4EA3"/>
    <w:rsid w:val="0B6E1F8A"/>
    <w:rsid w:val="0C0E79E7"/>
    <w:rsid w:val="1691301F"/>
    <w:rsid w:val="16D81545"/>
    <w:rsid w:val="184F6FDB"/>
    <w:rsid w:val="1E1D7804"/>
    <w:rsid w:val="1ECD63AC"/>
    <w:rsid w:val="21E91F0B"/>
    <w:rsid w:val="25CE6F67"/>
    <w:rsid w:val="28F672EF"/>
    <w:rsid w:val="2AFA7179"/>
    <w:rsid w:val="2EA9109C"/>
    <w:rsid w:val="2F635351"/>
    <w:rsid w:val="35167488"/>
    <w:rsid w:val="37594E54"/>
    <w:rsid w:val="3D99086C"/>
    <w:rsid w:val="408C0D1D"/>
    <w:rsid w:val="40FA1F69"/>
    <w:rsid w:val="4AA41278"/>
    <w:rsid w:val="55587BA6"/>
    <w:rsid w:val="57DE27D9"/>
    <w:rsid w:val="5A9914D0"/>
    <w:rsid w:val="60F31E0C"/>
    <w:rsid w:val="62E547F4"/>
    <w:rsid w:val="69D02942"/>
    <w:rsid w:val="6A31692C"/>
    <w:rsid w:val="6B182086"/>
    <w:rsid w:val="6BEB3F5C"/>
    <w:rsid w:val="6E0C7DBD"/>
    <w:rsid w:val="70976871"/>
    <w:rsid w:val="72947AD7"/>
    <w:rsid w:val="73221E31"/>
    <w:rsid w:val="740C200E"/>
    <w:rsid w:val="7FDB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B6EC"/>
  <w15:docId w15:val="{30AE4BAB-7A77-406E-AAA6-D652CC49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2">
    <w:name w:val="Body Text Indent 2"/>
    <w:basedOn w:val="a"/>
    <w:next w:val="a"/>
    <w:qFormat/>
    <w:pPr>
      <w:spacing w:after="120" w:line="480" w:lineRule="auto"/>
      <w:ind w:leftChars="200" w:left="420"/>
    </w:pPr>
    <w:rPr>
      <w:rFonts w:ascii="Times New Roman" w:hAnsi="Times New Roman"/>
    </w:rPr>
  </w:style>
  <w:style w:type="paragraph" w:styleId="a4">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11">
    <w:name w:val="font11"/>
    <w:basedOn w:val="a1"/>
    <w:qFormat/>
    <w:rPr>
      <w:rFonts w:ascii="Calibri" w:hAnsi="Calibri" w:cs="Calibri" w:hint="default"/>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styleId="a5">
    <w:name w:val="header"/>
    <w:basedOn w:val="a"/>
    <w:link w:val="a6"/>
    <w:uiPriority w:val="99"/>
    <w:unhideWhenUsed/>
    <w:rsid w:val="00022994"/>
    <w:pPr>
      <w:tabs>
        <w:tab w:val="center" w:pos="4153"/>
        <w:tab w:val="right" w:pos="8306"/>
      </w:tabs>
      <w:snapToGrid w:val="0"/>
      <w:jc w:val="center"/>
    </w:pPr>
    <w:rPr>
      <w:sz w:val="18"/>
      <w:szCs w:val="18"/>
    </w:rPr>
  </w:style>
  <w:style w:type="character" w:customStyle="1" w:styleId="a6">
    <w:name w:val="页眉 字符"/>
    <w:basedOn w:val="a1"/>
    <w:link w:val="a5"/>
    <w:uiPriority w:val="99"/>
    <w:rsid w:val="00022994"/>
    <w:rPr>
      <w:rFonts w:asciiTheme="minorHAnsi" w:eastAsiaTheme="minorEastAsia" w:hAnsiTheme="minorHAnsi" w:cstheme="minorBidi"/>
      <w:kern w:val="2"/>
      <w:sz w:val="18"/>
      <w:szCs w:val="18"/>
    </w:rPr>
  </w:style>
  <w:style w:type="paragraph" w:styleId="a7">
    <w:name w:val="footer"/>
    <w:basedOn w:val="a"/>
    <w:link w:val="a8"/>
    <w:uiPriority w:val="99"/>
    <w:unhideWhenUsed/>
    <w:rsid w:val="00022994"/>
    <w:pPr>
      <w:tabs>
        <w:tab w:val="center" w:pos="4153"/>
        <w:tab w:val="right" w:pos="8306"/>
      </w:tabs>
      <w:snapToGrid w:val="0"/>
      <w:jc w:val="left"/>
    </w:pPr>
    <w:rPr>
      <w:sz w:val="18"/>
      <w:szCs w:val="18"/>
    </w:rPr>
  </w:style>
  <w:style w:type="character" w:customStyle="1" w:styleId="a8">
    <w:name w:val="页脚 字符"/>
    <w:basedOn w:val="a1"/>
    <w:link w:val="a7"/>
    <w:uiPriority w:val="99"/>
    <w:rsid w:val="0002299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565756694@qq.com</cp:lastModifiedBy>
  <cp:revision>2</cp:revision>
  <dcterms:created xsi:type="dcterms:W3CDTF">2023-01-30T01:51:00Z</dcterms:created>
  <dcterms:modified xsi:type="dcterms:W3CDTF">2024-09-20T09:18:00Z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