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40"/>
        <w:gridCol w:w="1009"/>
        <w:gridCol w:w="1073"/>
        <w:gridCol w:w="250"/>
        <w:gridCol w:w="884"/>
        <w:gridCol w:w="834"/>
        <w:gridCol w:w="1248"/>
        <w:gridCol w:w="895"/>
        <w:gridCol w:w="851"/>
        <w:gridCol w:w="115"/>
        <w:gridCol w:w="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互联网仲裁系统建设经费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淮北仲裁委员会秘书处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14.76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98.40%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14.76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98.40%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节约当事人仲裁成本，解决疫情期间人员出行管控造成的开庭延期，提升仲裁效率和便利度。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节约当事人仲裁成本，解决疫情期间人员出行管控造成的开庭延期，提升仲裁效率和便利度。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仲裁经济纠纷维护社会和谐稳定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受理案件350件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受理案件459件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费用及时支出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费用及时支出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及时完成序时进度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经费使用合格率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80" w:hanging="18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不对群众业余生活带来变化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未对群众业余生活带来明显、不利变化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未对群众业余生活带来明显、不利变化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对群众带来积极的影响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未对周边群众产生消极影响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对周边群众提供了仲裁服务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对当地生态环境造成影响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通过预算支出项目的实施，绿色、节能环保推广，明显带动各环节的节能减排，也具有一定的环境效益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仲裁经济纠纷，提升仲裁公信力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全年受理仲裁案件350件以上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2"/>
        <w:tblW w:w="92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40"/>
        <w:gridCol w:w="1009"/>
        <w:gridCol w:w="1073"/>
        <w:gridCol w:w="250"/>
        <w:gridCol w:w="884"/>
        <w:gridCol w:w="834"/>
        <w:gridCol w:w="1009"/>
        <w:gridCol w:w="1134"/>
        <w:gridCol w:w="851"/>
        <w:gridCol w:w="115"/>
        <w:gridCol w:w="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聘用人员劳务经费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淮北仲裁委员会秘书处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完成聘用人员劳务费发放、法律顾问参与涉法事项劳务费发放，提供全方位的法律服务，发挥智囊作用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，保障仲裁各项工作正常运行。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完成聘用人员劳务费发放、法律顾问参与涉法事项劳务费发放，提供全方位的法律服务，发挥智囊作用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，保障仲裁各项工作正常运行。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完成聘用人员的工资及社会保障缴纳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完成聘用人员的工资及社会保障缴纳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足额发放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12月底按照序时进度聘用人员的工资及社会保障缴纳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及时按照序时进度发放各类费用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及时完成序时进度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经费使用合格率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不促进经济区域增长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不促进经济区域增长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仲裁经济纠纷维护社会和谐稳定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受理案件350件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受理案件459件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对当地生态环境造成影响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通过预算支出项目的实施，绿色、节能环保推广，明显带动各环节的节能减排，也具有一定的环境效益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仲裁经济纠纷，提升仲裁公信力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全年受理仲裁案件350件以上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受理案件459件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2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40"/>
        <w:gridCol w:w="1009"/>
        <w:gridCol w:w="1073"/>
        <w:gridCol w:w="250"/>
        <w:gridCol w:w="884"/>
        <w:gridCol w:w="834"/>
        <w:gridCol w:w="1009"/>
        <w:gridCol w:w="1134"/>
        <w:gridCol w:w="851"/>
        <w:gridCol w:w="115"/>
        <w:gridCol w:w="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仲裁员费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淮北仲裁委员会秘书处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46.32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46.32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46.32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46.32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发挥仲裁员专家断案作用，公平、公正审理仲裁案件。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发挥仲裁员专家断案作用，公平、公正审理仲裁案件。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按时发放已结案件的仲裁员费用，不底于200件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按时发放仲裁员费用，200件以上    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已结案件仲裁员费用发放率100%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已结案件仲裁员费用发放率100%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及时完成序时进度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经费使用合格率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仲裁经济纠纷维护社会和谐稳定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受理案件350件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受理案件459件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对当地生态环境造成影响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通过预算支出项目的实施，绿色、节能环保推广，明显带动各环节的节能减排，也具有一定的环境效益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仲裁经济纠纷，提升仲裁公信力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提升仲裁公信力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提升公信力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tbl>
      <w:tblPr>
        <w:tblStyle w:val="2"/>
        <w:tblW w:w="92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40"/>
        <w:gridCol w:w="1009"/>
        <w:gridCol w:w="1073"/>
        <w:gridCol w:w="250"/>
        <w:gridCol w:w="884"/>
        <w:gridCol w:w="834"/>
        <w:gridCol w:w="1248"/>
        <w:gridCol w:w="895"/>
        <w:gridCol w:w="851"/>
        <w:gridCol w:w="115"/>
        <w:gridCol w:w="7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22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办案经费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淮北市司法局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淮北仲裁委员会秘书处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26.35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25.59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25.58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99.96%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26.35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25.59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25.58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99.96%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完成聘用人员劳务费发放、法律顾问参与涉法事项劳务费发放，提供全方位的法律服务，发挥智囊作用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，保障仲裁各项工作正常运行。</w:t>
            </w:r>
          </w:p>
        </w:tc>
        <w:tc>
          <w:tcPr>
            <w:tcW w:w="38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完成聘用人员劳务费发放、法律顾问参与涉法事项劳务费发放，提供全方位的法律服务，发挥智囊作用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，保障仲裁各项工作正常运行。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仲裁经济纠纷维护社会和谐稳定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受理案件350件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受理案件459件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各项费用及时支出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各项费用及时支出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及时支出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经费支出时效性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及时完成序时进度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经费使用合格率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80" w:hanging="18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项目实施不产生经济价值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不产生经济价值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不对群众业余生活带来变化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未对群众业余生活带来明显、不利变化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未对群众业余生活带来明显、不利变化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  <w:jc w:val="center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对群众带来积极的影响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对周边群众产生消极影响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对周边群众提供了仲裁服务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对当地生态环境造成影响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通过预算支出项目的实施，绿色、节能环保推广，明显带动各环节的节能减排，也具有一定的环境效益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仲裁经济纠纷，提升仲裁公信力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全年受理仲裁案件350件以上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完成要求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41197"/>
    <w:rsid w:val="7432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2023-09-23T03:31:35Z</dcterms:created>
  <dc:creator>Administrator</dc:creator>
  <cp:lastModifiedBy>秦伟峰</cp:lastModifiedBy>
  <dcterms:modified xsi:type="dcterms:W3CDTF">2023-09-23T03:32:44Z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