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6"/>
          <w:szCs w:val="36"/>
        </w:rPr>
      </w:pPr>
      <w:r>
        <w:rPr>
          <w:rFonts w:hint="eastAsia" w:ascii="宋体" w:hAnsi="宋体"/>
          <w:b/>
          <w:sz w:val="36"/>
          <w:szCs w:val="36"/>
        </w:rPr>
        <w:t>淮北市人民政府法律顾问室</w:t>
      </w:r>
      <w:r>
        <w:rPr>
          <w:rFonts w:ascii="宋体" w:hAnsi="宋体"/>
          <w:b/>
          <w:sz w:val="36"/>
          <w:szCs w:val="36"/>
        </w:rPr>
        <w:t>20</w:t>
      </w:r>
      <w:r>
        <w:rPr>
          <w:rFonts w:hint="eastAsia" w:ascii="宋体" w:hAnsi="宋体"/>
          <w:b/>
          <w:sz w:val="36"/>
          <w:szCs w:val="36"/>
        </w:rPr>
        <w:t>21</w:t>
      </w:r>
      <w:r>
        <w:rPr>
          <w:rFonts w:ascii="宋体" w:hAnsi="宋体"/>
          <w:b/>
          <w:sz w:val="36"/>
          <w:szCs w:val="36"/>
        </w:rPr>
        <w:t>年</w:t>
      </w:r>
      <w:r>
        <w:rPr>
          <w:rFonts w:hint="eastAsia" w:ascii="宋体" w:hAnsi="宋体"/>
          <w:b/>
          <w:sz w:val="36"/>
          <w:szCs w:val="36"/>
        </w:rPr>
        <w:t>度一般公共预算财政拨款</w:t>
      </w:r>
      <w:r>
        <w:rPr>
          <w:rFonts w:ascii="宋体" w:hAnsi="宋体"/>
          <w:b/>
          <w:sz w:val="36"/>
          <w:szCs w:val="36"/>
        </w:rPr>
        <w:t>“三公</w:t>
      </w:r>
      <w:r>
        <w:rPr>
          <w:rFonts w:hint="eastAsia" w:ascii="宋体" w:hAnsi="宋体"/>
          <w:b/>
          <w:sz w:val="36"/>
          <w:szCs w:val="36"/>
        </w:rPr>
        <w:t>”</w:t>
      </w:r>
      <w:r>
        <w:rPr>
          <w:rFonts w:ascii="宋体" w:hAnsi="宋体"/>
          <w:b/>
          <w:sz w:val="36"/>
          <w:szCs w:val="36"/>
        </w:rPr>
        <w:t>经费</w:t>
      </w:r>
      <w:r>
        <w:rPr>
          <w:rFonts w:hint="eastAsia" w:ascii="宋体" w:hAnsi="宋体"/>
          <w:b/>
          <w:sz w:val="36"/>
          <w:szCs w:val="36"/>
        </w:rPr>
        <w:t>支出决算情况说明</w:t>
      </w:r>
    </w:p>
    <w:p>
      <w:pPr>
        <w:jc w:val="center"/>
        <w:rPr>
          <w:rFonts w:ascii="楷体_GB2312" w:eastAsia="楷体_GB2312"/>
          <w:szCs w:val="32"/>
        </w:rPr>
      </w:pPr>
    </w:p>
    <w:p>
      <w:pPr>
        <w:adjustRightInd w:val="0"/>
        <w:snapToGrid w:val="0"/>
        <w:spacing w:line="360" w:lineRule="auto"/>
        <w:jc w:val="center"/>
        <w:rPr>
          <w:rFonts w:ascii="宋体" w:hAnsi="宋体"/>
          <w:sz w:val="6"/>
          <w:szCs w:val="32"/>
        </w:rPr>
      </w:pPr>
    </w:p>
    <w:p>
      <w:pPr>
        <w:rPr>
          <w:rFonts w:ascii="黑体" w:hAnsi="黑体" w:eastAsia="黑体"/>
          <w:szCs w:val="32"/>
        </w:rPr>
      </w:pPr>
      <w:r>
        <w:rPr>
          <w:rFonts w:hint="eastAsia" w:ascii="黑体" w:hAnsi="黑体" w:eastAsia="黑体"/>
          <w:szCs w:val="32"/>
        </w:rPr>
        <w:t>一、2021年度一般公共预算财政拨款“三公”经费支出决算表</w:t>
      </w:r>
    </w:p>
    <w:p>
      <w:pPr>
        <w:ind w:firstLine="6720" w:firstLineChars="2100"/>
        <w:rPr>
          <w:rFonts w:ascii="黑体" w:hAnsi="黑体" w:eastAsia="黑体"/>
          <w:szCs w:val="32"/>
        </w:rPr>
      </w:pPr>
      <w:r>
        <w:rPr>
          <w:rFonts w:hint="eastAsia" w:ascii="仿宋_GB2312" w:hAnsi="仿宋_GB2312" w:cs="仿宋_GB2312"/>
          <w:szCs w:val="32"/>
        </w:rPr>
        <w:t>单位：万元</w:t>
      </w:r>
    </w:p>
    <w:tbl>
      <w:tblPr>
        <w:tblStyle w:val="4"/>
        <w:tblpPr w:leftFromText="180" w:rightFromText="180" w:vertAnchor="text" w:horzAnchor="margin" w:tblpY="454"/>
        <w:tblOverlap w:val="never"/>
        <w:tblW w:w="8756" w:type="dxa"/>
        <w:tblInd w:w="0" w:type="dxa"/>
        <w:tblLayout w:type="fixed"/>
        <w:tblCellMar>
          <w:top w:w="0" w:type="dxa"/>
          <w:left w:w="108" w:type="dxa"/>
          <w:bottom w:w="0" w:type="dxa"/>
          <w:right w:w="108" w:type="dxa"/>
        </w:tblCellMar>
      </w:tblPr>
      <w:tblGrid>
        <w:gridCol w:w="4379"/>
        <w:gridCol w:w="2157"/>
        <w:gridCol w:w="2220"/>
      </w:tblGrid>
      <w:tr>
        <w:tblPrEx>
          <w:tblCellMar>
            <w:top w:w="0" w:type="dxa"/>
            <w:left w:w="108" w:type="dxa"/>
            <w:bottom w:w="0" w:type="dxa"/>
            <w:right w:w="108" w:type="dxa"/>
          </w:tblCellMar>
        </w:tblPrEx>
        <w:trPr>
          <w:trHeight w:val="397" w:hRule="atLeast"/>
        </w:trPr>
        <w:tc>
          <w:tcPr>
            <w:tcW w:w="43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项  目</w:t>
            </w:r>
          </w:p>
        </w:tc>
        <w:tc>
          <w:tcPr>
            <w:tcW w:w="215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预 算 数</w:t>
            </w:r>
          </w:p>
        </w:tc>
        <w:tc>
          <w:tcPr>
            <w:tcW w:w="22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决 算 数</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合  计</w:t>
            </w:r>
          </w:p>
        </w:tc>
        <w:tc>
          <w:tcPr>
            <w:tcW w:w="2157" w:type="dxa"/>
            <w:tcBorders>
              <w:top w:val="nil"/>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25.3　</w:t>
            </w:r>
          </w:p>
        </w:tc>
        <w:tc>
          <w:tcPr>
            <w:tcW w:w="2220" w:type="dxa"/>
            <w:tcBorders>
              <w:top w:val="nil"/>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28.65　</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因公出国（境）费</w:t>
            </w:r>
          </w:p>
        </w:tc>
        <w:tc>
          <w:tcPr>
            <w:tcW w:w="2157" w:type="dxa"/>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r>
              <w:rPr>
                <w:rFonts w:hint="eastAsia" w:ascii="宋体" w:hAnsi="宋体" w:cs="宋体"/>
                <w:kern w:val="0"/>
                <w:szCs w:val="21"/>
              </w:rPr>
              <w:t>　</w:t>
            </w:r>
          </w:p>
        </w:tc>
        <w:tc>
          <w:tcPr>
            <w:tcW w:w="2220" w:type="dxa"/>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公务接待费</w:t>
            </w:r>
          </w:p>
        </w:tc>
        <w:tc>
          <w:tcPr>
            <w:tcW w:w="2157" w:type="dxa"/>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r>
              <w:rPr>
                <w:rFonts w:hint="eastAsia" w:ascii="宋体" w:hAnsi="宋体" w:cs="宋体"/>
                <w:kern w:val="0"/>
                <w:szCs w:val="21"/>
              </w:rPr>
              <w:t>　0.3</w:t>
            </w:r>
          </w:p>
        </w:tc>
        <w:tc>
          <w:tcPr>
            <w:tcW w:w="2220" w:type="dxa"/>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r>
              <w:rPr>
                <w:rFonts w:hint="eastAsia" w:ascii="宋体" w:hAnsi="宋体" w:cs="宋体"/>
                <w:kern w:val="0"/>
                <w:szCs w:val="21"/>
              </w:rPr>
              <w:t>　0.18</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公务用车购置及运行维护费</w:t>
            </w:r>
          </w:p>
        </w:tc>
        <w:tc>
          <w:tcPr>
            <w:tcW w:w="2157" w:type="dxa"/>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r>
              <w:rPr>
                <w:rFonts w:hint="eastAsia" w:ascii="宋体" w:hAnsi="宋体" w:cs="宋体"/>
                <w:kern w:val="0"/>
                <w:szCs w:val="21"/>
              </w:rPr>
              <w:t>　25</w:t>
            </w:r>
          </w:p>
        </w:tc>
        <w:tc>
          <w:tcPr>
            <w:tcW w:w="2220" w:type="dxa"/>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r>
              <w:rPr>
                <w:rFonts w:hint="eastAsia" w:ascii="宋体" w:hAnsi="宋体" w:cs="宋体"/>
                <w:kern w:val="0"/>
                <w:szCs w:val="21"/>
              </w:rPr>
              <w:t>　28.47</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  其中：公务用车运行维护费</w:t>
            </w:r>
          </w:p>
        </w:tc>
        <w:tc>
          <w:tcPr>
            <w:tcW w:w="2157" w:type="dxa"/>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r>
              <w:rPr>
                <w:rFonts w:hint="eastAsia" w:ascii="宋体" w:hAnsi="宋体" w:cs="宋体"/>
                <w:kern w:val="0"/>
                <w:szCs w:val="21"/>
              </w:rPr>
              <w:t>　</w:t>
            </w:r>
          </w:p>
        </w:tc>
        <w:tc>
          <w:tcPr>
            <w:tcW w:w="2220" w:type="dxa"/>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r>
              <w:rPr>
                <w:rFonts w:hint="eastAsia" w:ascii="宋体" w:hAnsi="宋体" w:cs="宋体"/>
                <w:kern w:val="0"/>
                <w:szCs w:val="21"/>
              </w:rPr>
              <w:t>　1.3</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        公务用车购置费 </w:t>
            </w:r>
          </w:p>
        </w:tc>
        <w:tc>
          <w:tcPr>
            <w:tcW w:w="2157" w:type="dxa"/>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r>
              <w:rPr>
                <w:rFonts w:hint="eastAsia" w:ascii="宋体" w:hAnsi="宋体" w:cs="宋体"/>
                <w:kern w:val="0"/>
                <w:szCs w:val="21"/>
              </w:rPr>
              <w:t>　25</w:t>
            </w:r>
          </w:p>
        </w:tc>
        <w:tc>
          <w:tcPr>
            <w:tcW w:w="2220" w:type="dxa"/>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r>
              <w:rPr>
                <w:rFonts w:hint="eastAsia" w:ascii="宋体" w:hAnsi="宋体" w:cs="宋体"/>
                <w:kern w:val="0"/>
                <w:szCs w:val="21"/>
              </w:rPr>
              <w:t>　27.17</w:t>
            </w:r>
          </w:p>
        </w:tc>
      </w:tr>
    </w:tbl>
    <w:p>
      <w:pPr>
        <w:ind w:firstLine="640" w:firstLineChars="200"/>
        <w:rPr>
          <w:rFonts w:ascii="黑体" w:hAnsi="黑体" w:eastAsia="黑体"/>
          <w:szCs w:val="32"/>
        </w:rPr>
      </w:pPr>
    </w:p>
    <w:p>
      <w:pPr>
        <w:rPr>
          <w:rFonts w:ascii="黑体" w:hAnsi="黑体" w:eastAsia="黑体"/>
          <w:szCs w:val="32"/>
        </w:rPr>
      </w:pPr>
      <w:r>
        <w:rPr>
          <w:rFonts w:hint="eastAsia" w:ascii="黑体" w:hAnsi="黑体" w:eastAsia="黑体"/>
          <w:szCs w:val="32"/>
        </w:rPr>
        <w:t>二</w:t>
      </w:r>
      <w:r>
        <w:rPr>
          <w:rFonts w:ascii="黑体" w:hAnsi="黑体" w:eastAsia="黑体"/>
          <w:szCs w:val="32"/>
        </w:rPr>
        <w:t>、20</w:t>
      </w:r>
      <w:r>
        <w:rPr>
          <w:rFonts w:hint="eastAsia" w:ascii="黑体" w:hAnsi="黑体" w:eastAsia="黑体"/>
          <w:szCs w:val="32"/>
        </w:rPr>
        <w:t>21</w:t>
      </w:r>
      <w:r>
        <w:rPr>
          <w:rFonts w:ascii="黑体" w:hAnsi="黑体" w:eastAsia="黑体"/>
          <w:szCs w:val="32"/>
        </w:rPr>
        <w:t>年</w:t>
      </w:r>
      <w:r>
        <w:rPr>
          <w:rFonts w:hint="eastAsia" w:ascii="黑体" w:hAnsi="黑体" w:eastAsia="黑体"/>
          <w:szCs w:val="32"/>
        </w:rPr>
        <w:t>度一般公共预算财政拨款“三公”经费支出</w:t>
      </w:r>
      <w:r>
        <w:rPr>
          <w:rFonts w:ascii="黑体" w:hAnsi="黑体" w:eastAsia="黑体"/>
          <w:szCs w:val="32"/>
        </w:rPr>
        <w:t>情况说明</w:t>
      </w:r>
    </w:p>
    <w:p>
      <w:pPr>
        <w:ind w:firstLine="642" w:firstLineChars="200"/>
        <w:rPr>
          <w:rFonts w:ascii="仿宋_GB2312" w:hAnsi="仿宋"/>
          <w:b/>
          <w:szCs w:val="32"/>
        </w:rPr>
      </w:pPr>
      <w:r>
        <w:rPr>
          <w:rFonts w:hint="eastAsia" w:ascii="仿宋_GB2312" w:hAnsi="仿宋"/>
          <w:b/>
          <w:szCs w:val="32"/>
        </w:rPr>
        <w:t>（一）一般公共预算财政拨款“三公”经费支出决算总体情况说明。</w:t>
      </w:r>
    </w:p>
    <w:p>
      <w:pPr>
        <w:ind w:firstLine="640" w:firstLineChars="200"/>
        <w:rPr>
          <w:rFonts w:ascii="仿宋_GB2312" w:hAnsi="仿宋"/>
          <w:szCs w:val="32"/>
        </w:rPr>
      </w:pPr>
      <w:r>
        <w:rPr>
          <w:rFonts w:hint="eastAsia" w:ascii="仿宋_GB2312" w:hAnsi="仿宋"/>
          <w:szCs w:val="32"/>
        </w:rPr>
        <w:t>淮北市人民政府法律顾问室2021年度一般公共预算财政拨款“三公”经费支出预算为25.3万元，支出决算为28.65万元，完成预算的113%，决算数大于预算数的主要原因是购置车辆发生的保险费和车辆运行费。</w:t>
      </w:r>
    </w:p>
    <w:p>
      <w:pPr>
        <w:ind w:firstLine="642" w:firstLineChars="200"/>
        <w:rPr>
          <w:rFonts w:ascii="仿宋_GB2312" w:hAnsi="仿宋"/>
          <w:b/>
          <w:szCs w:val="32"/>
        </w:rPr>
      </w:pPr>
      <w:r>
        <w:rPr>
          <w:rFonts w:hint="eastAsia" w:ascii="仿宋_GB2312" w:hAnsi="仿宋"/>
          <w:b/>
          <w:bCs/>
          <w:szCs w:val="32"/>
        </w:rPr>
        <w:t>（二）</w:t>
      </w:r>
      <w:r>
        <w:rPr>
          <w:rFonts w:hint="eastAsia" w:ascii="仿宋_GB2312" w:hAnsi="仿宋"/>
          <w:b/>
          <w:szCs w:val="32"/>
        </w:rPr>
        <w:t>一般公共预算财政拨款“三公”经费支出决算具体情况说明。</w:t>
      </w:r>
    </w:p>
    <w:p>
      <w:pPr>
        <w:ind w:firstLine="640" w:firstLineChars="200"/>
        <w:rPr>
          <w:rFonts w:ascii="仿宋_GB2312" w:hAnsi="仿宋"/>
          <w:szCs w:val="32"/>
        </w:rPr>
      </w:pPr>
      <w:r>
        <w:rPr>
          <w:rFonts w:hint="eastAsia" w:ascii="仿宋_GB2312" w:hAnsi="仿宋"/>
          <w:szCs w:val="32"/>
        </w:rPr>
        <w:t>淮北市人民政府法律顾问室2021年度一般公共预算财政拨款“三公”经费支出决算中，因公出国（境）费支出决算0万元，占0%;公务接待费支出决算0.18万元，占0.6%；公务用车购置及运行维护费支出决算</w:t>
      </w:r>
      <w:r>
        <w:rPr>
          <w:rFonts w:hint="eastAsia" w:ascii="仿宋_GB2312" w:hAnsi="仿宋"/>
          <w:szCs w:val="32"/>
          <w:lang w:val="en-US" w:eastAsia="zh-CN"/>
        </w:rPr>
        <w:t>27.17</w:t>
      </w:r>
      <w:r>
        <w:rPr>
          <w:rFonts w:hint="eastAsia" w:ascii="仿宋_GB2312" w:hAnsi="仿宋"/>
          <w:szCs w:val="32"/>
        </w:rPr>
        <w:t>万元，占99.4%。具体情况如下：</w:t>
      </w:r>
    </w:p>
    <w:p>
      <w:pPr>
        <w:ind w:firstLine="628"/>
        <w:rPr>
          <w:rFonts w:ascii="仿宋_GB2312" w:hAnsi="仿宋"/>
          <w:szCs w:val="32"/>
        </w:rPr>
      </w:pPr>
      <w:r>
        <w:rPr>
          <w:rFonts w:hint="eastAsia" w:ascii="仿宋_GB2312" w:hAnsi="仿宋"/>
          <w:b/>
          <w:bCs/>
          <w:szCs w:val="32"/>
        </w:rPr>
        <w:t>1.因公出国（境）费支出</w:t>
      </w:r>
      <w:r>
        <w:rPr>
          <w:rFonts w:hint="eastAsia" w:ascii="仿宋_GB2312" w:hAnsi="仿宋"/>
          <w:szCs w:val="32"/>
        </w:rPr>
        <w:t>0万元，与2021年度预算相比，无增减变化。2021年淮北市人民政府法律顾问室因公出国（境）团组0次，累计出国（境）0人次。该项经费根据市外办批准的因公临时出国（境）计划，按照规定标准安排。经费使用严格相关规定执行。</w:t>
      </w:r>
    </w:p>
    <w:p>
      <w:pPr>
        <w:ind w:firstLine="628"/>
        <w:rPr>
          <w:rFonts w:ascii="仿宋_GB2312" w:hAnsi="仿宋"/>
          <w:szCs w:val="32"/>
        </w:rPr>
      </w:pPr>
      <w:r>
        <w:rPr>
          <w:rFonts w:hint="eastAsia" w:ascii="仿宋_GB2312" w:hAnsi="仿宋"/>
          <w:b/>
          <w:bCs/>
          <w:szCs w:val="32"/>
        </w:rPr>
        <w:t>2.公务接待费支出</w:t>
      </w:r>
      <w:r>
        <w:rPr>
          <w:rFonts w:hint="eastAsia" w:ascii="仿宋_GB2312" w:hAnsi="仿宋"/>
          <w:szCs w:val="32"/>
        </w:rPr>
        <w:t>0.18万元, 与2021年度预算相比，增加0.07万元，增长38%，增长的原因是业务工作增加。2021年淮北市人民政府法律顾问室国内公务接待共2批次（其中外事接待0批次），20人次（其中外事接待0人次）。主要是用于接待上级、外省单位业务指导和工作调研等公务往来支出。经费使用严格贯彻</w:t>
      </w:r>
      <w:bookmarkStart w:id="0" w:name="_GoBack"/>
      <w:bookmarkEnd w:id="0"/>
      <w:r>
        <w:rPr>
          <w:rFonts w:hint="eastAsia" w:ascii="仿宋_GB2312" w:hAnsi="仿宋"/>
          <w:szCs w:val="32"/>
        </w:rPr>
        <w:t>中央八项规定要求，严格执行《党政机关厉行节约反对浪费条例》、淮北市公务接待相关规定等。</w:t>
      </w:r>
    </w:p>
    <w:p>
      <w:pPr>
        <w:ind w:firstLine="642" w:firstLineChars="200"/>
        <w:rPr>
          <w:rFonts w:ascii="仿宋_GB2312" w:hAnsi="仿宋"/>
          <w:szCs w:val="32"/>
        </w:rPr>
      </w:pPr>
      <w:r>
        <w:rPr>
          <w:rFonts w:hint="eastAsia" w:ascii="仿宋_GB2312" w:hAnsi="仿宋"/>
          <w:b/>
          <w:bCs/>
          <w:szCs w:val="32"/>
        </w:rPr>
        <w:t>3.公务用车购置及运行维护费支出</w:t>
      </w:r>
      <w:r>
        <w:rPr>
          <w:rFonts w:hint="eastAsia" w:ascii="仿宋_GB2312" w:hAnsi="仿宋"/>
          <w:szCs w:val="32"/>
        </w:rPr>
        <w:t>28.65万元，与2021年度预算相比，增加28.05万元，增长4600%，增长的原因是2021年原有车辆报废，当年购置一辆新车。其中，公务用车购置费27.17万元，与2021年度预算相比，增加27.17万元，增长2717%，增长的原因是原有车辆报废，当年购置一辆新车，2021年购置公务用车1辆</w:t>
      </w:r>
      <w:r>
        <w:rPr>
          <w:rFonts w:hint="eastAsia" w:ascii="楷体_GB2312" w:hAnsi="仿宋" w:eastAsia="楷体_GB2312"/>
          <w:szCs w:val="32"/>
        </w:rPr>
        <w:t>。</w:t>
      </w:r>
      <w:r>
        <w:rPr>
          <w:rFonts w:hint="eastAsia" w:ascii="仿宋_GB2312" w:hAnsi="仿宋"/>
          <w:szCs w:val="32"/>
        </w:rPr>
        <w:t>公务用车运行维护费1.3万元，与2021年度预算相比，增加1.3万元，增长130%，增长的原因是购置新车辆支付的车辆保险费和运行费。公务用车运行维护费，包括车辆燃料费、维修费、过路过桥费、保险费等支出。截至2021年12月31日，淮北市人民政府法律顾问室开支财政拨款的公务用车保有量为1辆。</w:t>
      </w:r>
    </w:p>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0000000000000000000"/>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I4OTMyYzkwOGFhNjY2ZTJlOWY5NjQ4ZDE1M2E0NGEifQ=="/>
  </w:docVars>
  <w:rsids>
    <w:rsidRoot w:val="00D303BC"/>
    <w:rsid w:val="00114E4C"/>
    <w:rsid w:val="002F6DE8"/>
    <w:rsid w:val="00326726"/>
    <w:rsid w:val="003547B8"/>
    <w:rsid w:val="003671B4"/>
    <w:rsid w:val="003B6E2C"/>
    <w:rsid w:val="003E521D"/>
    <w:rsid w:val="00497C22"/>
    <w:rsid w:val="004D6484"/>
    <w:rsid w:val="004E0B32"/>
    <w:rsid w:val="005C7A65"/>
    <w:rsid w:val="005F510E"/>
    <w:rsid w:val="00613D73"/>
    <w:rsid w:val="00656EC6"/>
    <w:rsid w:val="006B3BF0"/>
    <w:rsid w:val="007719A9"/>
    <w:rsid w:val="00890A03"/>
    <w:rsid w:val="008A3C6F"/>
    <w:rsid w:val="008D44B5"/>
    <w:rsid w:val="009770F9"/>
    <w:rsid w:val="009D2B9A"/>
    <w:rsid w:val="00A00C09"/>
    <w:rsid w:val="00A92496"/>
    <w:rsid w:val="00AB0278"/>
    <w:rsid w:val="00B14CD1"/>
    <w:rsid w:val="00B2159B"/>
    <w:rsid w:val="00B72524"/>
    <w:rsid w:val="00CE25D9"/>
    <w:rsid w:val="00D2629D"/>
    <w:rsid w:val="00D303BC"/>
    <w:rsid w:val="00D9784E"/>
    <w:rsid w:val="00DB321D"/>
    <w:rsid w:val="00E02B6D"/>
    <w:rsid w:val="00E546AA"/>
    <w:rsid w:val="00FC29F2"/>
    <w:rsid w:val="18242EF9"/>
    <w:rsid w:val="2E084802"/>
    <w:rsid w:val="50312772"/>
    <w:rsid w:val="7DBBB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174</Words>
  <Characters>998</Characters>
  <Lines>8</Lines>
  <Paragraphs>2</Paragraphs>
  <TotalTime>31</TotalTime>
  <ScaleCrop>false</ScaleCrop>
  <LinksUpToDate>false</LinksUpToDate>
  <CharactersWithSpaces>1170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2021-07-16T08:55:00Z</dcterms:created>
  <dc:creator>丁配泉</dc:creator>
  <cp:lastModifiedBy>user</cp:lastModifiedBy>
  <cp:lastPrinted>2020-09-14T16:17:00Z</cp:lastPrinted>
  <dcterms:modified xsi:type="dcterms:W3CDTF">2023-08-04T14:55:23Z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95B7D7A6868D44358BC8FEE951F652F5</vt:lpwstr>
  </property>
</Properties>
</file>